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50A2D1" w14:textId="4F83C935" w:rsidR="00F63B14" w:rsidRDefault="00F63B14" w:rsidP="00F63B14">
      <w:pPr>
        <w:pStyle w:val="3GPPHeader"/>
        <w:spacing w:after="60"/>
        <w:rPr>
          <w:sz w:val="32"/>
          <w:szCs w:val="32"/>
          <w:highlight w:val="yellow"/>
        </w:rPr>
      </w:pPr>
      <w:r>
        <w:t>3GPP TSG-RAN WG1 Meeting #94</w:t>
      </w:r>
      <w:r>
        <w:tab/>
      </w:r>
      <w:r>
        <w:rPr>
          <w:sz w:val="32"/>
          <w:szCs w:val="32"/>
        </w:rPr>
        <w:t>R1-18</w:t>
      </w:r>
      <w:r w:rsidR="00F52353" w:rsidRPr="00F52353">
        <w:rPr>
          <w:sz w:val="32"/>
          <w:szCs w:val="32"/>
        </w:rPr>
        <w:t>08035</w:t>
      </w:r>
    </w:p>
    <w:p w14:paraId="2382E998" w14:textId="77777777" w:rsidR="00F63B14" w:rsidRDefault="00F63B14" w:rsidP="00F63B14">
      <w:pPr>
        <w:pStyle w:val="3GPPHeader"/>
      </w:pPr>
      <w:r>
        <w:t>Gothenburg, Sweden, August 20th – 24th 2018</w:t>
      </w:r>
    </w:p>
    <w:p w14:paraId="70483280" w14:textId="77777777" w:rsidR="00F63B14" w:rsidRDefault="00F63B14" w:rsidP="00F63B14">
      <w:pPr>
        <w:pStyle w:val="3GPPHeader"/>
      </w:pPr>
    </w:p>
    <w:p w14:paraId="1CC640E1" w14:textId="77777777" w:rsidR="00F63B14" w:rsidRDefault="00F63B14" w:rsidP="00F63B14">
      <w:pPr>
        <w:pStyle w:val="3GPPHeader"/>
        <w:rPr>
          <w:sz w:val="22"/>
          <w:szCs w:val="22"/>
          <w:lang w:val="en-US"/>
        </w:rPr>
      </w:pPr>
      <w:r>
        <w:rPr>
          <w:sz w:val="22"/>
          <w:szCs w:val="22"/>
          <w:lang w:val="en-US"/>
        </w:rPr>
        <w:t>Agenda Item:</w:t>
      </w:r>
      <w:r>
        <w:rPr>
          <w:sz w:val="22"/>
          <w:szCs w:val="22"/>
          <w:lang w:val="en-US"/>
        </w:rPr>
        <w:tab/>
      </w:r>
      <w:r w:rsidRPr="00F52353">
        <w:rPr>
          <w:sz w:val="22"/>
          <w:szCs w:val="22"/>
          <w:lang w:val="en-US"/>
        </w:rPr>
        <w:t>6.2.1.2</w:t>
      </w:r>
    </w:p>
    <w:p w14:paraId="7CB3AC42" w14:textId="77777777" w:rsidR="00F63B14" w:rsidRDefault="00F63B14" w:rsidP="00F63B14">
      <w:pPr>
        <w:pStyle w:val="3GPPHeader"/>
        <w:rPr>
          <w:sz w:val="22"/>
          <w:szCs w:val="22"/>
        </w:rPr>
      </w:pPr>
      <w:r>
        <w:rPr>
          <w:sz w:val="22"/>
          <w:szCs w:val="22"/>
        </w:rPr>
        <w:t>Source:</w:t>
      </w:r>
      <w:r>
        <w:rPr>
          <w:sz w:val="22"/>
          <w:szCs w:val="22"/>
        </w:rPr>
        <w:tab/>
        <w:t>Ericsson</w:t>
      </w:r>
    </w:p>
    <w:p w14:paraId="13E46CD8" w14:textId="5D2F1114" w:rsidR="00F63B14" w:rsidRDefault="00F63B14" w:rsidP="00F63B14">
      <w:pPr>
        <w:pStyle w:val="3GPPHeader"/>
        <w:rPr>
          <w:sz w:val="22"/>
          <w:szCs w:val="22"/>
        </w:rPr>
      </w:pPr>
      <w:r>
        <w:rPr>
          <w:sz w:val="22"/>
          <w:szCs w:val="22"/>
        </w:rPr>
        <w:t>Title:</w:t>
      </w:r>
      <w:r>
        <w:rPr>
          <w:sz w:val="22"/>
          <w:szCs w:val="22"/>
        </w:rPr>
        <w:tab/>
        <w:t>Support for transmission in preconfigured UL resources</w:t>
      </w:r>
      <w:r w:rsidR="00191269">
        <w:rPr>
          <w:sz w:val="22"/>
          <w:szCs w:val="22"/>
        </w:rPr>
        <w:t xml:space="preserve"> in LTE-MTC</w:t>
      </w:r>
    </w:p>
    <w:p w14:paraId="3D306087" w14:textId="4522FB1E" w:rsidR="00F63B14" w:rsidRDefault="00F63B14" w:rsidP="00F63B14">
      <w:pPr>
        <w:pStyle w:val="3GPPHeader"/>
        <w:rPr>
          <w:sz w:val="22"/>
          <w:szCs w:val="22"/>
        </w:rPr>
      </w:pPr>
      <w:r>
        <w:rPr>
          <w:sz w:val="22"/>
          <w:szCs w:val="22"/>
        </w:rPr>
        <w:t>Document for:</w:t>
      </w:r>
      <w:r>
        <w:rPr>
          <w:sz w:val="22"/>
          <w:szCs w:val="22"/>
        </w:rPr>
        <w:tab/>
      </w:r>
      <w:r w:rsidR="006008D6">
        <w:rPr>
          <w:sz w:val="22"/>
          <w:szCs w:val="22"/>
        </w:rPr>
        <w:t xml:space="preserve">Discussion and </w:t>
      </w:r>
      <w:bookmarkStart w:id="0" w:name="_GoBack"/>
      <w:bookmarkEnd w:id="0"/>
      <w:r>
        <w:rPr>
          <w:sz w:val="22"/>
          <w:szCs w:val="22"/>
        </w:rPr>
        <w:t>Decision</w:t>
      </w:r>
    </w:p>
    <w:p w14:paraId="03F3EE84" w14:textId="77777777" w:rsidR="00F63B14" w:rsidRDefault="00F63B14" w:rsidP="00F63B14"/>
    <w:p w14:paraId="4011FEC4" w14:textId="77777777" w:rsidR="00F63B14" w:rsidRDefault="00F63B14" w:rsidP="00F63B14">
      <w:pPr>
        <w:pStyle w:val="Heading1"/>
      </w:pPr>
      <w:r>
        <w:t>1</w:t>
      </w:r>
      <w:r>
        <w:tab/>
        <w:t>Introduction</w:t>
      </w:r>
    </w:p>
    <w:p w14:paraId="0D67839E" w14:textId="46AAFD9A" w:rsidR="00F63B14" w:rsidRDefault="00F63B14" w:rsidP="00F63B14">
      <w:pPr>
        <w:pStyle w:val="BodyText"/>
      </w:pPr>
      <w:r>
        <w:t xml:space="preserve">At the RAN plenary #80, a new Work Item (WI) on “Rel-16 MTC enhancements” was approved. The WID states that </w:t>
      </w:r>
      <w:r w:rsidR="000670D9">
        <w:t>one</w:t>
      </w:r>
      <w:r>
        <w:t xml:space="preserve"> objective is to specify the following improvement for machine-type communications for BL/CE UEs:</w:t>
      </w:r>
    </w:p>
    <w:p w14:paraId="5730F2C7" w14:textId="77777777" w:rsidR="00F63B14" w:rsidRDefault="00F63B14" w:rsidP="00F63B14">
      <w:pPr>
        <w:pStyle w:val="BodyText"/>
      </w:pPr>
    </w:p>
    <w:tbl>
      <w:tblPr>
        <w:tblStyle w:val="TableGrid"/>
        <w:tblW w:w="0" w:type="auto"/>
        <w:tblBorders>
          <w:top w:val="double" w:sz="4" w:space="0" w:color="auto"/>
        </w:tblBorders>
        <w:tblLook w:val="04A0" w:firstRow="1" w:lastRow="0" w:firstColumn="1" w:lastColumn="0" w:noHBand="0" w:noVBand="1"/>
      </w:tblPr>
      <w:tblGrid>
        <w:gridCol w:w="9629"/>
      </w:tblGrid>
      <w:tr w:rsidR="00F63B14" w14:paraId="2AD029BE" w14:textId="77777777" w:rsidTr="00F63B14">
        <w:tc>
          <w:tcPr>
            <w:tcW w:w="9629" w:type="dxa"/>
            <w:tcBorders>
              <w:top w:val="double" w:sz="4" w:space="0" w:color="auto"/>
              <w:left w:val="single" w:sz="4" w:space="0" w:color="auto"/>
              <w:bottom w:val="single" w:sz="4" w:space="0" w:color="auto"/>
              <w:right w:val="single" w:sz="4" w:space="0" w:color="auto"/>
            </w:tcBorders>
            <w:hideMark/>
          </w:tcPr>
          <w:p w14:paraId="0BDEA6D8" w14:textId="77777777" w:rsidR="00F63B14" w:rsidRDefault="00F63B14">
            <w:pPr>
              <w:spacing w:after="0"/>
              <w:rPr>
                <w:b/>
                <w:bCs/>
              </w:rPr>
            </w:pPr>
            <w:proofErr w:type="spellStart"/>
            <w:r>
              <w:rPr>
                <w:b/>
                <w:bCs/>
              </w:rPr>
              <w:t>Improved</w:t>
            </w:r>
            <w:proofErr w:type="spellEnd"/>
            <w:r>
              <w:rPr>
                <w:b/>
                <w:bCs/>
              </w:rPr>
              <w:t xml:space="preserve"> UL </w:t>
            </w:r>
            <w:proofErr w:type="spellStart"/>
            <w:r>
              <w:rPr>
                <w:b/>
                <w:bCs/>
              </w:rPr>
              <w:t>transmission</w:t>
            </w:r>
            <w:proofErr w:type="spellEnd"/>
            <w:r>
              <w:rPr>
                <w:b/>
                <w:bCs/>
              </w:rPr>
              <w:t xml:space="preserve"> </w:t>
            </w:r>
            <w:proofErr w:type="spellStart"/>
            <w:r>
              <w:rPr>
                <w:b/>
                <w:bCs/>
              </w:rPr>
              <w:t>efficiency</w:t>
            </w:r>
            <w:proofErr w:type="spellEnd"/>
            <w:r>
              <w:rPr>
                <w:b/>
                <w:bCs/>
              </w:rPr>
              <w:t xml:space="preserve"> and/</w:t>
            </w:r>
            <w:proofErr w:type="spellStart"/>
            <w:r>
              <w:rPr>
                <w:b/>
                <w:bCs/>
              </w:rPr>
              <w:t>or</w:t>
            </w:r>
            <w:proofErr w:type="spellEnd"/>
            <w:r>
              <w:rPr>
                <w:b/>
                <w:bCs/>
              </w:rPr>
              <w:t xml:space="preserve"> UE power </w:t>
            </w:r>
            <w:proofErr w:type="spellStart"/>
            <w:r>
              <w:rPr>
                <w:b/>
                <w:bCs/>
              </w:rPr>
              <w:t>consumption</w:t>
            </w:r>
            <w:proofErr w:type="spellEnd"/>
            <w:r>
              <w:rPr>
                <w:b/>
                <w:bCs/>
              </w:rPr>
              <w:t>:</w:t>
            </w:r>
          </w:p>
          <w:p w14:paraId="77B36B2E" w14:textId="77777777" w:rsidR="00F63B14" w:rsidRDefault="00F63B14" w:rsidP="00F63B14">
            <w:pPr>
              <w:numPr>
                <w:ilvl w:val="0"/>
                <w:numId w:val="33"/>
              </w:numPr>
              <w:spacing w:after="0"/>
              <w:textAlignment w:val="auto"/>
              <w:rPr>
                <w:bCs/>
              </w:rPr>
            </w:pPr>
            <w:bookmarkStart w:id="1" w:name="_Hlk518637711"/>
            <w:bookmarkStart w:id="2" w:name="_Hlk516687799"/>
            <w:proofErr w:type="spellStart"/>
            <w:r>
              <w:rPr>
                <w:bCs/>
              </w:rPr>
              <w:t>Specify</w:t>
            </w:r>
            <w:proofErr w:type="spellEnd"/>
            <w:r>
              <w:rPr>
                <w:bCs/>
              </w:rPr>
              <w:t xml:space="preserve"> support </w:t>
            </w:r>
            <w:proofErr w:type="spellStart"/>
            <w:r>
              <w:rPr>
                <w:bCs/>
              </w:rPr>
              <w:t>for</w:t>
            </w:r>
            <w:proofErr w:type="spellEnd"/>
            <w:r>
              <w:rPr>
                <w:bCs/>
              </w:rPr>
              <w:t xml:space="preserve"> </w:t>
            </w:r>
            <w:proofErr w:type="spellStart"/>
            <w:r>
              <w:rPr>
                <w:bCs/>
              </w:rPr>
              <w:t>transmission</w:t>
            </w:r>
            <w:proofErr w:type="spellEnd"/>
            <w:r>
              <w:rPr>
                <w:bCs/>
              </w:rPr>
              <w:t xml:space="preserve"> in </w:t>
            </w:r>
            <w:proofErr w:type="spellStart"/>
            <w:r>
              <w:rPr>
                <w:bCs/>
              </w:rPr>
              <w:t>preconfigured</w:t>
            </w:r>
            <w:proofErr w:type="spellEnd"/>
            <w:r>
              <w:rPr>
                <w:bCs/>
              </w:rPr>
              <w:t xml:space="preserve"> </w:t>
            </w:r>
            <w:proofErr w:type="spellStart"/>
            <w:r>
              <w:rPr>
                <w:bCs/>
              </w:rPr>
              <w:t>resources</w:t>
            </w:r>
            <w:proofErr w:type="spellEnd"/>
            <w:r>
              <w:rPr>
                <w:bCs/>
              </w:rPr>
              <w:t xml:space="preserve"> in </w:t>
            </w:r>
            <w:proofErr w:type="spellStart"/>
            <w:r>
              <w:rPr>
                <w:bCs/>
              </w:rPr>
              <w:t>idle</w:t>
            </w:r>
            <w:proofErr w:type="spellEnd"/>
            <w:r>
              <w:rPr>
                <w:bCs/>
              </w:rPr>
              <w:t xml:space="preserve"> and/</w:t>
            </w:r>
            <w:proofErr w:type="spellStart"/>
            <w:r>
              <w:rPr>
                <w:bCs/>
              </w:rPr>
              <w:t>or</w:t>
            </w:r>
            <w:proofErr w:type="spellEnd"/>
            <w:r>
              <w:rPr>
                <w:bCs/>
              </w:rPr>
              <w:t xml:space="preserve"> </w:t>
            </w:r>
            <w:proofErr w:type="spellStart"/>
            <w:r>
              <w:rPr>
                <w:bCs/>
              </w:rPr>
              <w:t>connected</w:t>
            </w:r>
            <w:proofErr w:type="spellEnd"/>
            <w:r>
              <w:rPr>
                <w:bCs/>
              </w:rPr>
              <w:t xml:space="preserve"> </w:t>
            </w:r>
            <w:proofErr w:type="spellStart"/>
            <w:r>
              <w:rPr>
                <w:bCs/>
              </w:rPr>
              <w:t>mode</w:t>
            </w:r>
            <w:proofErr w:type="spellEnd"/>
            <w:r>
              <w:rPr>
                <w:bCs/>
              </w:rPr>
              <w:t xml:space="preserve"> </w:t>
            </w:r>
            <w:proofErr w:type="spellStart"/>
            <w:r>
              <w:rPr>
                <w:bCs/>
              </w:rPr>
              <w:t>based</w:t>
            </w:r>
            <w:proofErr w:type="spellEnd"/>
            <w:r>
              <w:rPr>
                <w:bCs/>
              </w:rPr>
              <w:t xml:space="preserve"> on SC-FDMA </w:t>
            </w:r>
            <w:proofErr w:type="spellStart"/>
            <w:r>
              <w:rPr>
                <w:bCs/>
              </w:rPr>
              <w:t>waveform</w:t>
            </w:r>
            <w:proofErr w:type="spellEnd"/>
            <w:r>
              <w:rPr>
                <w:bCs/>
              </w:rPr>
              <w:t xml:space="preserve"> </w:t>
            </w:r>
            <w:proofErr w:type="spellStart"/>
            <w:r>
              <w:rPr>
                <w:bCs/>
              </w:rPr>
              <w:t>for</w:t>
            </w:r>
            <w:proofErr w:type="spellEnd"/>
            <w:r>
              <w:rPr>
                <w:bCs/>
              </w:rPr>
              <w:t xml:space="preserve"> UEs </w:t>
            </w:r>
            <w:proofErr w:type="spellStart"/>
            <w:r>
              <w:rPr>
                <w:bCs/>
              </w:rPr>
              <w:t>with</w:t>
            </w:r>
            <w:proofErr w:type="spellEnd"/>
            <w:r>
              <w:rPr>
                <w:bCs/>
              </w:rPr>
              <w:t xml:space="preserve"> a valid </w:t>
            </w:r>
            <w:proofErr w:type="spellStart"/>
            <w:r>
              <w:rPr>
                <w:bCs/>
              </w:rPr>
              <w:t>timing</w:t>
            </w:r>
            <w:proofErr w:type="spellEnd"/>
            <w:r>
              <w:rPr>
                <w:bCs/>
              </w:rPr>
              <w:t xml:space="preserve"> </w:t>
            </w:r>
            <w:proofErr w:type="spellStart"/>
            <w:r>
              <w:rPr>
                <w:bCs/>
              </w:rPr>
              <w:t>advance</w:t>
            </w:r>
            <w:bookmarkEnd w:id="1"/>
            <w:proofErr w:type="spellEnd"/>
            <w:r>
              <w:rPr>
                <w:bCs/>
              </w:rPr>
              <w:t xml:space="preserve"> [RAN1, RAN2</w:t>
            </w:r>
            <w:bookmarkStart w:id="3" w:name="_Hlk516765211"/>
            <w:r>
              <w:rPr>
                <w:bCs/>
              </w:rPr>
              <w:t>, RAN</w:t>
            </w:r>
            <w:bookmarkEnd w:id="3"/>
            <w:r>
              <w:rPr>
                <w:bCs/>
              </w:rPr>
              <w:t>4]</w:t>
            </w:r>
          </w:p>
          <w:p w14:paraId="3923C530" w14:textId="77777777" w:rsidR="00F63B14" w:rsidRDefault="00F63B14" w:rsidP="00F63B14">
            <w:pPr>
              <w:numPr>
                <w:ilvl w:val="1"/>
                <w:numId w:val="33"/>
              </w:numPr>
              <w:spacing w:after="0"/>
              <w:textAlignment w:val="auto"/>
              <w:rPr>
                <w:bCs/>
              </w:rPr>
            </w:pPr>
            <w:r>
              <w:rPr>
                <w:bCs/>
              </w:rPr>
              <w:t xml:space="preserve">Both </w:t>
            </w:r>
            <w:proofErr w:type="spellStart"/>
            <w:r>
              <w:rPr>
                <w:bCs/>
              </w:rPr>
              <w:t>shared</w:t>
            </w:r>
            <w:proofErr w:type="spellEnd"/>
            <w:r>
              <w:rPr>
                <w:bCs/>
              </w:rPr>
              <w:t xml:space="preserve"> </w:t>
            </w:r>
            <w:proofErr w:type="spellStart"/>
            <w:r>
              <w:rPr>
                <w:bCs/>
              </w:rPr>
              <w:t>resources</w:t>
            </w:r>
            <w:proofErr w:type="spellEnd"/>
            <w:r>
              <w:rPr>
                <w:bCs/>
              </w:rPr>
              <w:t xml:space="preserve"> and </w:t>
            </w:r>
            <w:proofErr w:type="spellStart"/>
            <w:r>
              <w:rPr>
                <w:bCs/>
              </w:rPr>
              <w:t>dedicated</w:t>
            </w:r>
            <w:proofErr w:type="spellEnd"/>
            <w:r>
              <w:rPr>
                <w:bCs/>
              </w:rPr>
              <w:t xml:space="preserve"> </w:t>
            </w:r>
            <w:proofErr w:type="spellStart"/>
            <w:r>
              <w:rPr>
                <w:bCs/>
              </w:rPr>
              <w:t>resources</w:t>
            </w:r>
            <w:proofErr w:type="spellEnd"/>
            <w:r>
              <w:rPr>
                <w:bCs/>
              </w:rPr>
              <w:t xml:space="preserve"> </w:t>
            </w:r>
            <w:proofErr w:type="spellStart"/>
            <w:r>
              <w:rPr>
                <w:bCs/>
              </w:rPr>
              <w:t>can</w:t>
            </w:r>
            <w:proofErr w:type="spellEnd"/>
            <w:r>
              <w:rPr>
                <w:bCs/>
              </w:rPr>
              <w:t xml:space="preserve"> </w:t>
            </w:r>
            <w:proofErr w:type="spellStart"/>
            <w:r>
              <w:rPr>
                <w:bCs/>
              </w:rPr>
              <w:t>be</w:t>
            </w:r>
            <w:proofErr w:type="spellEnd"/>
            <w:r>
              <w:rPr>
                <w:bCs/>
              </w:rPr>
              <w:t xml:space="preserve"> </w:t>
            </w:r>
            <w:proofErr w:type="spellStart"/>
            <w:r>
              <w:rPr>
                <w:bCs/>
              </w:rPr>
              <w:t>discussed</w:t>
            </w:r>
            <w:proofErr w:type="spellEnd"/>
          </w:p>
          <w:p w14:paraId="2C50977C" w14:textId="77777777" w:rsidR="00F63B14" w:rsidRDefault="00F63B14" w:rsidP="00F63B14">
            <w:pPr>
              <w:numPr>
                <w:ilvl w:val="1"/>
                <w:numId w:val="33"/>
              </w:numPr>
              <w:spacing w:after="0"/>
              <w:textAlignment w:val="auto"/>
              <w:rPr>
                <w:bCs/>
              </w:rPr>
            </w:pPr>
            <w:r>
              <w:rPr>
                <w:bCs/>
              </w:rPr>
              <w:t xml:space="preserve">Note: This </w:t>
            </w:r>
            <w:proofErr w:type="spellStart"/>
            <w:r>
              <w:rPr>
                <w:bCs/>
              </w:rPr>
              <w:t>is</w:t>
            </w:r>
            <w:proofErr w:type="spellEnd"/>
            <w:r>
              <w:rPr>
                <w:bCs/>
              </w:rPr>
              <w:t xml:space="preserve"> limited </w:t>
            </w:r>
            <w:proofErr w:type="spellStart"/>
            <w:r>
              <w:rPr>
                <w:bCs/>
              </w:rPr>
              <w:t>to</w:t>
            </w:r>
            <w:proofErr w:type="spellEnd"/>
            <w:r>
              <w:rPr>
                <w:bCs/>
              </w:rPr>
              <w:t xml:space="preserve"> orthogonal (</w:t>
            </w:r>
            <w:proofErr w:type="spellStart"/>
            <w:r>
              <w:rPr>
                <w:bCs/>
              </w:rPr>
              <w:t>multi</w:t>
            </w:r>
            <w:proofErr w:type="spellEnd"/>
            <w:r>
              <w:rPr>
                <w:bCs/>
              </w:rPr>
              <w:t xml:space="preserve">) </w:t>
            </w:r>
            <w:proofErr w:type="spellStart"/>
            <w:r>
              <w:rPr>
                <w:bCs/>
              </w:rPr>
              <w:t>access</w:t>
            </w:r>
            <w:proofErr w:type="spellEnd"/>
            <w:r>
              <w:rPr>
                <w:bCs/>
              </w:rPr>
              <w:t xml:space="preserve"> </w:t>
            </w:r>
            <w:proofErr w:type="spellStart"/>
            <w:r>
              <w:rPr>
                <w:bCs/>
              </w:rPr>
              <w:t>schemes</w:t>
            </w:r>
            <w:bookmarkEnd w:id="2"/>
            <w:proofErr w:type="spellEnd"/>
          </w:p>
        </w:tc>
      </w:tr>
    </w:tbl>
    <w:p w14:paraId="0EDE329F" w14:textId="77777777" w:rsidR="00F63B14" w:rsidRDefault="00F63B14" w:rsidP="00F63B14">
      <w:pPr>
        <w:pStyle w:val="BodyText"/>
      </w:pPr>
    </w:p>
    <w:p w14:paraId="01C2EA63" w14:textId="2B51AE89" w:rsidR="001071AC" w:rsidRDefault="001071AC" w:rsidP="00F63B14">
      <w:pPr>
        <w:pStyle w:val="BodyText"/>
      </w:pPr>
      <w:r>
        <w:t>Based on what the WID has stipulated as Rel-16 objective, this contribution is intended to discuss the “Support for transmission in preconfigured resources in idle and/or connected mode”</w:t>
      </w:r>
      <w:r w:rsidR="00523426">
        <w:t xml:space="preserve"> </w:t>
      </w:r>
      <w:r w:rsidR="00523426" w:rsidRPr="00523426">
        <w:t>for machine-type communications for BL/CE UEs</w:t>
      </w:r>
      <w:r w:rsidR="00523426">
        <w:t>.</w:t>
      </w:r>
    </w:p>
    <w:p w14:paraId="692E9E0B" w14:textId="77777777" w:rsidR="00F63B14" w:rsidRDefault="00F63B14" w:rsidP="00F63B14">
      <w:pPr>
        <w:pStyle w:val="Heading1"/>
      </w:pPr>
      <w:bookmarkStart w:id="4" w:name="_Ref178064866"/>
      <w:r>
        <w:t>2</w:t>
      </w:r>
      <w:r>
        <w:tab/>
      </w:r>
      <w:bookmarkEnd w:id="4"/>
      <w:r>
        <w:t>Areas of improvement within the scope of the WID’s objective</w:t>
      </w:r>
    </w:p>
    <w:p w14:paraId="3C720CCC" w14:textId="1E8FA130" w:rsidR="00F63B14" w:rsidRDefault="00246C1F" w:rsidP="00F63B14">
      <w:pPr>
        <w:jc w:val="both"/>
        <w:rPr>
          <w:rFonts w:ascii="Arial" w:hAnsi="Arial" w:cs="Arial"/>
        </w:rPr>
      </w:pPr>
      <w:r>
        <w:rPr>
          <w:rFonts w:ascii="Arial" w:hAnsi="Arial" w:cs="Arial"/>
        </w:rPr>
        <w:t>T</w:t>
      </w:r>
      <w:r w:rsidR="00F63B14">
        <w:rPr>
          <w:rFonts w:ascii="Arial" w:hAnsi="Arial" w:cs="Arial"/>
        </w:rPr>
        <w:t>he sections below provide a brief description of potential areas of improvement that are directly tied to the WID’s objective</w:t>
      </w:r>
      <w:r>
        <w:rPr>
          <w:rFonts w:ascii="Arial" w:hAnsi="Arial" w:cs="Arial"/>
        </w:rPr>
        <w:t xml:space="preserve"> described in section 1</w:t>
      </w:r>
      <w:r w:rsidR="00F63B14">
        <w:rPr>
          <w:rFonts w:ascii="Arial" w:hAnsi="Arial" w:cs="Arial"/>
        </w:rPr>
        <w:t>.</w:t>
      </w:r>
    </w:p>
    <w:p w14:paraId="7E61D129" w14:textId="77777777" w:rsidR="00F63B14" w:rsidRDefault="00F63B14" w:rsidP="00F63B14">
      <w:pPr>
        <w:pStyle w:val="Heading2"/>
      </w:pPr>
      <w:r>
        <w:t>2.1</w:t>
      </w:r>
      <w:r>
        <w:tab/>
        <w:t>Timing Advance related improvements</w:t>
      </w:r>
    </w:p>
    <w:p w14:paraId="2A5AD24C" w14:textId="0895D6D5" w:rsidR="00F63B14" w:rsidRDefault="00F63B14" w:rsidP="000C4B32">
      <w:pPr>
        <w:jc w:val="both"/>
        <w:rPr>
          <w:rFonts w:ascii="Arial" w:hAnsi="Arial" w:cs="Arial"/>
        </w:rPr>
      </w:pPr>
      <w:r>
        <w:rPr>
          <w:rFonts w:ascii="Arial" w:hAnsi="Arial" w:cs="Arial"/>
        </w:rPr>
        <w:t>The WID’s objective states “</w:t>
      </w:r>
      <w:r>
        <w:rPr>
          <w:rFonts w:ascii="Arial" w:hAnsi="Arial" w:cs="Arial"/>
          <w:i/>
        </w:rPr>
        <w:t>Specify support for transmission in preconfigured resources in idle and/or connected mode based on SC-FDMA waveform for UEs with a valid timing advance</w:t>
      </w:r>
      <w:r>
        <w:rPr>
          <w:rFonts w:ascii="Arial" w:hAnsi="Arial" w:cs="Arial"/>
        </w:rPr>
        <w:t xml:space="preserve">”. </w:t>
      </w:r>
      <w:r w:rsidR="000C4B32">
        <w:rPr>
          <w:rFonts w:ascii="Arial" w:hAnsi="Arial" w:cs="Arial"/>
        </w:rPr>
        <w:t>Hence,</w:t>
      </w:r>
      <w:r>
        <w:rPr>
          <w:rFonts w:ascii="Arial" w:hAnsi="Arial" w:cs="Arial"/>
        </w:rPr>
        <w:t xml:space="preserve"> it is necessary to </w:t>
      </w:r>
      <w:proofErr w:type="spellStart"/>
      <w:r>
        <w:rPr>
          <w:rFonts w:ascii="Arial" w:hAnsi="Arial" w:cs="Arial"/>
        </w:rPr>
        <w:t>analyze</w:t>
      </w:r>
      <w:proofErr w:type="spellEnd"/>
      <w:r>
        <w:rPr>
          <w:rFonts w:ascii="Arial" w:hAnsi="Arial" w:cs="Arial"/>
        </w:rPr>
        <w:t xml:space="preserve"> first, when, for how long, and under which conditions/scenarios a given timing advance </w:t>
      </w:r>
      <w:r w:rsidR="000C4B32">
        <w:rPr>
          <w:rFonts w:ascii="Arial" w:hAnsi="Arial" w:cs="Arial"/>
        </w:rPr>
        <w:t xml:space="preserve">(TA) </w:t>
      </w:r>
      <w:r>
        <w:rPr>
          <w:rFonts w:ascii="Arial" w:hAnsi="Arial" w:cs="Arial"/>
        </w:rPr>
        <w:t xml:space="preserve">can </w:t>
      </w:r>
      <w:proofErr w:type="gramStart"/>
      <w:r>
        <w:rPr>
          <w:rFonts w:ascii="Arial" w:hAnsi="Arial" w:cs="Arial"/>
        </w:rPr>
        <w:t>be considered to be</w:t>
      </w:r>
      <w:proofErr w:type="gramEnd"/>
      <w:r>
        <w:rPr>
          <w:rFonts w:ascii="Arial" w:hAnsi="Arial" w:cs="Arial"/>
        </w:rPr>
        <w:t xml:space="preserve"> valid.</w:t>
      </w:r>
    </w:p>
    <w:p w14:paraId="79426427" w14:textId="26F5A892" w:rsidR="00F63B14" w:rsidRDefault="000C4B32" w:rsidP="00F63B14">
      <w:pPr>
        <w:jc w:val="both"/>
        <w:rPr>
          <w:rFonts w:ascii="Arial" w:hAnsi="Arial" w:cs="Arial"/>
        </w:rPr>
      </w:pPr>
      <w:r>
        <w:rPr>
          <w:rFonts w:ascii="Arial" w:hAnsi="Arial" w:cs="Arial"/>
        </w:rPr>
        <w:t>The TA</w:t>
      </w:r>
      <w:r w:rsidR="00F63B14">
        <w:rPr>
          <w:rFonts w:ascii="Arial" w:hAnsi="Arial" w:cs="Arial"/>
        </w:rPr>
        <w:t xml:space="preserve"> is used by the </w:t>
      </w:r>
      <w:proofErr w:type="spellStart"/>
      <w:r w:rsidR="00F63B14">
        <w:rPr>
          <w:rFonts w:ascii="Arial" w:hAnsi="Arial" w:cs="Arial"/>
        </w:rPr>
        <w:t>eNodeB</w:t>
      </w:r>
      <w:proofErr w:type="spellEnd"/>
      <w:r w:rsidR="00F63B14">
        <w:rPr>
          <w:rFonts w:ascii="Arial" w:hAnsi="Arial" w:cs="Arial"/>
        </w:rPr>
        <w:t xml:space="preserve"> to instruct the UEs to adjust </w:t>
      </w:r>
      <w:proofErr w:type="gramStart"/>
      <w:r w:rsidR="00F63B14">
        <w:rPr>
          <w:rFonts w:ascii="Arial" w:hAnsi="Arial" w:cs="Arial"/>
        </w:rPr>
        <w:t>their</w:t>
      </w:r>
      <w:proofErr w:type="gramEnd"/>
      <w:r w:rsidR="00F63B14">
        <w:rPr>
          <w:rFonts w:ascii="Arial" w:hAnsi="Arial" w:cs="Arial"/>
        </w:rPr>
        <w:t xml:space="preserve"> transmit timing, which allows for a similar arrival time of uplink transmission of UEs located at different distances from the </w:t>
      </w:r>
      <w:proofErr w:type="spellStart"/>
      <w:r w:rsidR="00F63B14">
        <w:rPr>
          <w:rFonts w:ascii="Arial" w:hAnsi="Arial" w:cs="Arial"/>
        </w:rPr>
        <w:t>eNodeB</w:t>
      </w:r>
      <w:proofErr w:type="spellEnd"/>
      <w:r w:rsidR="00F63B14">
        <w:rPr>
          <w:rFonts w:ascii="Arial" w:hAnsi="Arial" w:cs="Arial"/>
        </w:rPr>
        <w:t>. This is very important, because if the UL arrival time are not properly aligned, the transmissions from different UEs wouldn’t be orthogonal any longer and they would interfere with each other.</w:t>
      </w:r>
    </w:p>
    <w:p w14:paraId="0309355E" w14:textId="442C122C" w:rsidR="00F63B14" w:rsidRDefault="00F63B14" w:rsidP="00F63B14">
      <w:pPr>
        <w:jc w:val="both"/>
        <w:rPr>
          <w:rFonts w:ascii="Arial" w:hAnsi="Arial" w:cs="Arial"/>
        </w:rPr>
      </w:pPr>
      <w:r>
        <w:rPr>
          <w:rFonts w:ascii="Arial" w:hAnsi="Arial" w:cs="Arial"/>
        </w:rPr>
        <w:t xml:space="preserve">The initial timing advance command is included in the </w:t>
      </w:r>
      <w:proofErr w:type="gramStart"/>
      <w:r>
        <w:rPr>
          <w:rFonts w:ascii="Arial" w:hAnsi="Arial" w:cs="Arial"/>
        </w:rPr>
        <w:t>random access</w:t>
      </w:r>
      <w:proofErr w:type="gramEnd"/>
      <w:r>
        <w:rPr>
          <w:rFonts w:ascii="Arial" w:hAnsi="Arial" w:cs="Arial"/>
        </w:rPr>
        <w:t xml:space="preserve"> response, where TA can be any value from 0 to 1282 as indicated by the 11-bit timing advance command. The amount of time alignment is given by NTA = (TA)16. NTA is defined in TS 36.211 as the “Timing offset between uplink and downlink radio frames </w:t>
      </w:r>
      <w:r>
        <w:rPr>
          <w:rFonts w:ascii="Arial" w:hAnsi="Arial" w:cs="Arial"/>
        </w:rPr>
        <w:lastRenderedPageBreak/>
        <w:t>at the UE, expressed in units of Ts” [</w:t>
      </w:r>
      <w:r w:rsidR="007A6952">
        <w:rPr>
          <w:rFonts w:ascii="Arial" w:hAnsi="Arial" w:cs="Arial"/>
        </w:rPr>
        <w:t>2</w:t>
      </w:r>
      <w:r>
        <w:rPr>
          <w:rFonts w:ascii="Arial" w:hAnsi="Arial" w:cs="Arial"/>
        </w:rPr>
        <w:t>]. On this matter, Ts is the basic time unit defined as Ts = 1/(15000x2048) seconds.</w:t>
      </w:r>
    </w:p>
    <w:p w14:paraId="1350FABE" w14:textId="4FB6188B" w:rsidR="00F63B14" w:rsidRDefault="00F63B14" w:rsidP="00F63B14">
      <w:pPr>
        <w:jc w:val="both"/>
        <w:rPr>
          <w:rFonts w:ascii="Arial" w:hAnsi="Arial" w:cs="Arial"/>
        </w:rPr>
      </w:pPr>
      <w:r>
        <w:rPr>
          <w:rFonts w:ascii="Arial" w:hAnsi="Arial" w:cs="Arial"/>
        </w:rPr>
        <w:t>Thus, the step size of the amount of time alignment is given in multiples of 16Ts, where 1 step TA is equal to 16Ts = 0.52us. Moreover, if we use half of a round trip and the speed of light (which is around 300 000 000 m/s) as reference, 1 step TA is around 78m. Similarly, when TA takes its maximum possible value (1282), the UE is meant to be 99996m (~100</w:t>
      </w:r>
      <w:r w:rsidR="00D92814">
        <w:rPr>
          <w:rFonts w:ascii="Arial" w:hAnsi="Arial" w:cs="Arial"/>
        </w:rPr>
        <w:t>k</w:t>
      </w:r>
      <w:r>
        <w:rPr>
          <w:rFonts w:ascii="Arial" w:hAnsi="Arial" w:cs="Arial"/>
        </w:rPr>
        <w:t xml:space="preserve">m) away from the cell’s antenna at the moment of sending the </w:t>
      </w:r>
      <w:proofErr w:type="gramStart"/>
      <w:r>
        <w:rPr>
          <w:rFonts w:ascii="Arial" w:hAnsi="Arial" w:cs="Arial"/>
        </w:rPr>
        <w:t>random access</w:t>
      </w:r>
      <w:proofErr w:type="gramEnd"/>
      <w:r>
        <w:rPr>
          <w:rFonts w:ascii="Arial" w:hAnsi="Arial" w:cs="Arial"/>
        </w:rPr>
        <w:t xml:space="preserve"> preamble.</w:t>
      </w:r>
    </w:p>
    <w:p w14:paraId="24B00938" w14:textId="77777777" w:rsidR="00F63B14" w:rsidRDefault="00F63B14" w:rsidP="00F63B14">
      <w:pPr>
        <w:jc w:val="both"/>
        <w:rPr>
          <w:rFonts w:ascii="Arial" w:hAnsi="Arial" w:cs="Arial"/>
        </w:rPr>
      </w:pPr>
      <w:r>
        <w:rPr>
          <w:rFonts w:ascii="Arial" w:hAnsi="Arial" w:cs="Arial"/>
        </w:rPr>
        <w:t xml:space="preserve">Once the RRC connection has been established, the TA can be any value from 0 to 63 as indicated by the 6-bit timing advance command, which is carried on the MAC layer using the Physical Downlink Share Channel (PDSCH). Moreover, in this case the timing advance values correspond to adjustments in the distance with respect to the last timing advance command, rather than a total distance between the UE and the cell. For this reason, whenever the eNB identifies that the distance between the UE and eNB significantly changes, the eNB sends the UE an updated TA which indicates new amount of the time alignment as follows: </w:t>
      </w:r>
      <w:proofErr w:type="spellStart"/>
      <w:proofErr w:type="gramStart"/>
      <w:r>
        <w:rPr>
          <w:rFonts w:ascii="Arial" w:hAnsi="Arial" w:cs="Arial"/>
        </w:rPr>
        <w:t>NTA,new</w:t>
      </w:r>
      <w:proofErr w:type="spellEnd"/>
      <w:proofErr w:type="gramEnd"/>
      <w:r>
        <w:rPr>
          <w:rFonts w:ascii="Arial" w:hAnsi="Arial" w:cs="Arial"/>
        </w:rPr>
        <w:t xml:space="preserve"> = </w:t>
      </w:r>
      <w:proofErr w:type="spellStart"/>
      <w:r>
        <w:rPr>
          <w:rFonts w:ascii="Arial" w:hAnsi="Arial" w:cs="Arial"/>
        </w:rPr>
        <w:t>NTA,old</w:t>
      </w:r>
      <w:proofErr w:type="spellEnd"/>
      <w:r>
        <w:rPr>
          <w:rFonts w:ascii="Arial" w:hAnsi="Arial" w:cs="Arial"/>
        </w:rPr>
        <w:t xml:space="preserve"> + (TA-31)16. Here, an adjustment of the NTA value by a positive or a negative amount indicates advancing or delaying the uplink transmission timing by a given amount respectively. </w:t>
      </w:r>
    </w:p>
    <w:p w14:paraId="105E6AAF" w14:textId="26B07508" w:rsidR="00F63B14" w:rsidRDefault="00F63B14" w:rsidP="00F63B14">
      <w:pPr>
        <w:jc w:val="both"/>
        <w:rPr>
          <w:rFonts w:ascii="Arial" w:hAnsi="Arial" w:cs="Arial"/>
        </w:rPr>
      </w:pPr>
      <w:r>
        <w:rPr>
          <w:rFonts w:ascii="Arial" w:hAnsi="Arial" w:cs="Arial"/>
        </w:rPr>
        <w:t xml:space="preserve">In Rel-16, RAN1 could consider </w:t>
      </w:r>
      <w:r w:rsidR="002770D1">
        <w:rPr>
          <w:rFonts w:ascii="Arial" w:hAnsi="Arial" w:cs="Arial"/>
        </w:rPr>
        <w:t>analysing whether</w:t>
      </w:r>
      <w:r w:rsidR="00C1076E">
        <w:rPr>
          <w:rFonts w:ascii="Arial" w:hAnsi="Arial" w:cs="Arial"/>
        </w:rPr>
        <w:t xml:space="preserve"> part(s) of the</w:t>
      </w:r>
      <w:r>
        <w:rPr>
          <w:rFonts w:ascii="Arial" w:hAnsi="Arial" w:cs="Arial"/>
        </w:rPr>
        <w:t xml:space="preserve"> </w:t>
      </w:r>
      <w:r w:rsidR="002770D1">
        <w:rPr>
          <w:rFonts w:ascii="Arial" w:hAnsi="Arial" w:cs="Arial"/>
        </w:rPr>
        <w:t xml:space="preserve">existing </w:t>
      </w:r>
      <w:r>
        <w:rPr>
          <w:rFonts w:ascii="Arial" w:hAnsi="Arial" w:cs="Arial"/>
        </w:rPr>
        <w:t xml:space="preserve">TA </w:t>
      </w:r>
      <w:r w:rsidR="00C1076E">
        <w:rPr>
          <w:rFonts w:ascii="Arial" w:hAnsi="Arial" w:cs="Arial"/>
        </w:rPr>
        <w:t>mechanism</w:t>
      </w:r>
      <w:r w:rsidR="002770D1">
        <w:rPr>
          <w:rFonts w:ascii="Arial" w:hAnsi="Arial" w:cs="Arial"/>
        </w:rPr>
        <w:t xml:space="preserve"> need to be enhanced</w:t>
      </w:r>
      <w:r>
        <w:rPr>
          <w:rFonts w:ascii="Arial" w:hAnsi="Arial" w:cs="Arial"/>
        </w:rPr>
        <w:t xml:space="preserve"> in such a way that the likelihood of retaining an obsolete TA value can be reduced. Moreover, RAN1 could also consider finding a way of determining if a </w:t>
      </w:r>
      <w:r w:rsidR="00C1076E">
        <w:rPr>
          <w:rFonts w:ascii="Arial" w:hAnsi="Arial" w:cs="Arial"/>
        </w:rPr>
        <w:t xml:space="preserve">formerly granted </w:t>
      </w:r>
      <w:r>
        <w:rPr>
          <w:rFonts w:ascii="Arial" w:hAnsi="Arial" w:cs="Arial"/>
        </w:rPr>
        <w:t xml:space="preserve">TA is still valid, so a device can maintain a valid TA configuration during idle mode in such a way that it </w:t>
      </w:r>
      <w:r w:rsidR="00B454F8" w:rsidRPr="00B454F8">
        <w:rPr>
          <w:rFonts w:ascii="Arial" w:hAnsi="Arial" w:cs="Arial"/>
        </w:rPr>
        <w:t>could initiate transmission of user data</w:t>
      </w:r>
      <w:r>
        <w:rPr>
          <w:rFonts w:ascii="Arial" w:hAnsi="Arial" w:cs="Arial"/>
        </w:rPr>
        <w:t xml:space="preserve">. </w:t>
      </w:r>
      <w:bookmarkStart w:id="5" w:name="_Hlk520497107"/>
      <w:r w:rsidR="00C665CD">
        <w:rPr>
          <w:rFonts w:ascii="Arial" w:hAnsi="Arial" w:cs="Arial"/>
        </w:rPr>
        <w:t>Moreover</w:t>
      </w:r>
      <w:r w:rsidR="00D70D2F">
        <w:rPr>
          <w:rFonts w:ascii="Arial" w:hAnsi="Arial" w:cs="Arial"/>
        </w:rPr>
        <w:t xml:space="preserve">, maintaining a valid TA becomes relevant to BL/CE UEs configured with long </w:t>
      </w:r>
      <w:proofErr w:type="spellStart"/>
      <w:r w:rsidR="00D70D2F">
        <w:rPr>
          <w:rFonts w:ascii="Arial" w:hAnsi="Arial" w:cs="Arial"/>
        </w:rPr>
        <w:t>eDRX</w:t>
      </w:r>
      <w:proofErr w:type="spellEnd"/>
      <w:r w:rsidR="00D70D2F">
        <w:rPr>
          <w:rFonts w:ascii="Arial" w:hAnsi="Arial" w:cs="Arial"/>
        </w:rPr>
        <w:t xml:space="preserve"> cycles.</w:t>
      </w:r>
      <w:bookmarkEnd w:id="5"/>
    </w:p>
    <w:p w14:paraId="112F7E0A" w14:textId="6B1F3AB5" w:rsidR="00F63B14" w:rsidRPr="000646F6" w:rsidRDefault="00F63B14" w:rsidP="00F63B14">
      <w:pPr>
        <w:tabs>
          <w:tab w:val="left" w:pos="720"/>
        </w:tabs>
        <w:jc w:val="both"/>
        <w:rPr>
          <w:rFonts w:ascii="Arial" w:hAnsi="Arial" w:cs="Arial"/>
          <w:b/>
          <w:lang w:val="en-US"/>
        </w:rPr>
      </w:pPr>
      <w:bookmarkStart w:id="6" w:name="Observation_1"/>
      <w:r w:rsidRPr="000646F6">
        <w:rPr>
          <w:rFonts w:ascii="Arial" w:hAnsi="Arial" w:cs="Arial"/>
          <w:b/>
          <w:lang w:val="en-US"/>
        </w:rPr>
        <w:t xml:space="preserve">Observation 1: The WID’s objective states “Specify support for transmission in preconfigured resources in idle and/or connected mode based on SC-FDMA waveform for UEs with a valid timing advance”. </w:t>
      </w:r>
      <w:r w:rsidR="00352C57" w:rsidRPr="000646F6">
        <w:rPr>
          <w:rFonts w:ascii="Arial" w:hAnsi="Arial" w:cs="Arial"/>
          <w:b/>
          <w:lang w:val="en-US"/>
        </w:rPr>
        <w:t>Hence,</w:t>
      </w:r>
      <w:r w:rsidRPr="000646F6">
        <w:rPr>
          <w:rFonts w:ascii="Arial" w:hAnsi="Arial" w:cs="Arial"/>
          <w:b/>
          <w:lang w:val="en-US"/>
        </w:rPr>
        <w:t xml:space="preserve"> it is necessary to analyze first, when, for how long, and under which conditions/scenarios a given timing advance can </w:t>
      </w:r>
      <w:proofErr w:type="gramStart"/>
      <w:r w:rsidRPr="000646F6">
        <w:rPr>
          <w:rFonts w:ascii="Arial" w:hAnsi="Arial" w:cs="Arial"/>
          <w:b/>
          <w:lang w:val="en-US"/>
        </w:rPr>
        <w:t>be considered to be</w:t>
      </w:r>
      <w:proofErr w:type="gramEnd"/>
      <w:r w:rsidRPr="000646F6">
        <w:rPr>
          <w:rFonts w:ascii="Arial" w:hAnsi="Arial" w:cs="Arial"/>
          <w:b/>
          <w:lang w:val="en-US"/>
        </w:rPr>
        <w:t xml:space="preserve"> valid.</w:t>
      </w:r>
      <w:bookmarkEnd w:id="6"/>
    </w:p>
    <w:p w14:paraId="6602FD87" w14:textId="72893D24" w:rsidR="00F63B14" w:rsidRPr="000646F6" w:rsidRDefault="00F63B14" w:rsidP="00F63B14">
      <w:pPr>
        <w:tabs>
          <w:tab w:val="left" w:pos="720"/>
        </w:tabs>
        <w:jc w:val="both"/>
        <w:rPr>
          <w:rFonts w:ascii="Arial" w:hAnsi="Arial" w:cs="Arial"/>
          <w:b/>
          <w:lang w:val="en-US"/>
        </w:rPr>
      </w:pPr>
      <w:bookmarkStart w:id="7" w:name="Observation_2"/>
      <w:r w:rsidRPr="000646F6">
        <w:rPr>
          <w:rFonts w:ascii="Arial" w:hAnsi="Arial" w:cs="Arial"/>
          <w:b/>
          <w:lang w:val="en-US"/>
        </w:rPr>
        <w:t xml:space="preserve">Observation 2: In Rel-16, RAN1 could consider </w:t>
      </w:r>
      <w:r w:rsidR="002770D1" w:rsidRPr="000646F6">
        <w:rPr>
          <w:rFonts w:ascii="Arial" w:hAnsi="Arial" w:cs="Arial"/>
          <w:b/>
          <w:lang w:val="en-US"/>
        </w:rPr>
        <w:t>analyzing whether</w:t>
      </w:r>
      <w:r w:rsidRPr="000646F6">
        <w:rPr>
          <w:rFonts w:ascii="Arial" w:hAnsi="Arial" w:cs="Arial"/>
          <w:b/>
          <w:lang w:val="en-US"/>
        </w:rPr>
        <w:t xml:space="preserve"> </w:t>
      </w:r>
      <w:r w:rsidR="00C1076E" w:rsidRPr="000646F6">
        <w:rPr>
          <w:rFonts w:ascii="Arial" w:hAnsi="Arial" w:cs="Arial"/>
          <w:b/>
          <w:lang w:val="en-US"/>
        </w:rPr>
        <w:t>part(s) of the</w:t>
      </w:r>
      <w:r w:rsidR="002770D1" w:rsidRPr="000646F6">
        <w:rPr>
          <w:rFonts w:ascii="Arial" w:hAnsi="Arial" w:cs="Arial"/>
          <w:b/>
          <w:lang w:val="en-US"/>
        </w:rPr>
        <w:t xml:space="preserve"> existing</w:t>
      </w:r>
      <w:r w:rsidRPr="000646F6">
        <w:rPr>
          <w:rFonts w:ascii="Arial" w:hAnsi="Arial" w:cs="Arial"/>
          <w:b/>
          <w:lang w:val="en-US"/>
        </w:rPr>
        <w:t xml:space="preserve"> TA </w:t>
      </w:r>
      <w:r w:rsidR="00C1076E" w:rsidRPr="000646F6">
        <w:rPr>
          <w:rFonts w:ascii="Arial" w:hAnsi="Arial" w:cs="Arial"/>
          <w:b/>
          <w:lang w:val="en-US"/>
        </w:rPr>
        <w:t>mechanism</w:t>
      </w:r>
      <w:r w:rsidRPr="000646F6">
        <w:rPr>
          <w:rFonts w:ascii="Arial" w:hAnsi="Arial" w:cs="Arial"/>
          <w:b/>
          <w:lang w:val="en-US"/>
        </w:rPr>
        <w:t xml:space="preserve"> </w:t>
      </w:r>
      <w:r w:rsidR="002770D1" w:rsidRPr="000646F6">
        <w:rPr>
          <w:rFonts w:ascii="Arial" w:hAnsi="Arial" w:cs="Arial"/>
          <w:b/>
          <w:lang w:val="en-US"/>
        </w:rPr>
        <w:t xml:space="preserve">need to be enhanced </w:t>
      </w:r>
      <w:r w:rsidR="002B743D" w:rsidRPr="000646F6">
        <w:rPr>
          <w:rFonts w:ascii="Arial" w:hAnsi="Arial" w:cs="Arial"/>
          <w:b/>
          <w:lang w:val="en-US"/>
        </w:rPr>
        <w:t>to reduce</w:t>
      </w:r>
      <w:r w:rsidRPr="000646F6">
        <w:rPr>
          <w:rFonts w:ascii="Arial" w:hAnsi="Arial" w:cs="Arial"/>
          <w:b/>
          <w:lang w:val="en-US"/>
        </w:rPr>
        <w:t xml:space="preserve"> the likelihood of retaining an obsolete TA value. Moreover, RAN1 could also consider finding a way </w:t>
      </w:r>
      <w:r w:rsidR="00780F7A" w:rsidRPr="000646F6">
        <w:rPr>
          <w:rFonts w:ascii="Arial" w:hAnsi="Arial" w:cs="Arial"/>
          <w:b/>
          <w:lang w:val="en-US"/>
        </w:rPr>
        <w:t>to determine</w:t>
      </w:r>
      <w:r w:rsidRPr="000646F6">
        <w:rPr>
          <w:rFonts w:ascii="Arial" w:hAnsi="Arial" w:cs="Arial"/>
          <w:b/>
          <w:lang w:val="en-US"/>
        </w:rPr>
        <w:t xml:space="preserve"> if a</w:t>
      </w:r>
      <w:r w:rsidR="00C1076E" w:rsidRPr="000646F6">
        <w:rPr>
          <w:rFonts w:ascii="Arial" w:hAnsi="Arial" w:cs="Arial"/>
          <w:b/>
          <w:lang w:val="en-US"/>
        </w:rPr>
        <w:t xml:space="preserve"> formerly granted</w:t>
      </w:r>
      <w:r w:rsidRPr="000646F6">
        <w:rPr>
          <w:rFonts w:ascii="Arial" w:hAnsi="Arial" w:cs="Arial"/>
          <w:b/>
          <w:lang w:val="en-US"/>
        </w:rPr>
        <w:t xml:space="preserve"> TA is still valid, so a device can maintain a valid TA configuration during idle mode </w:t>
      </w:r>
      <w:r w:rsidR="00556721" w:rsidRPr="000646F6">
        <w:rPr>
          <w:rFonts w:ascii="Arial" w:hAnsi="Arial" w:cs="Arial"/>
          <w:b/>
          <w:lang w:val="en-US"/>
        </w:rPr>
        <w:t xml:space="preserve">without requiring new TA command from eNB, </w:t>
      </w:r>
      <w:r w:rsidRPr="000646F6">
        <w:rPr>
          <w:rFonts w:ascii="Arial" w:hAnsi="Arial" w:cs="Arial"/>
          <w:b/>
          <w:lang w:val="en-US"/>
        </w:rPr>
        <w:t xml:space="preserve">in such a way that it </w:t>
      </w:r>
      <w:r w:rsidR="00B454F8" w:rsidRPr="00B454F8">
        <w:rPr>
          <w:rFonts w:ascii="Arial" w:hAnsi="Arial" w:cs="Arial"/>
          <w:b/>
          <w:lang w:val="en-US"/>
        </w:rPr>
        <w:t>could initiate transmission of user data</w:t>
      </w:r>
      <w:r w:rsidRPr="000646F6">
        <w:rPr>
          <w:rFonts w:ascii="Arial" w:hAnsi="Arial" w:cs="Arial"/>
          <w:b/>
          <w:lang w:val="en-US"/>
        </w:rPr>
        <w:t>.</w:t>
      </w:r>
      <w:r w:rsidR="00D70D2F" w:rsidRPr="000646F6">
        <w:rPr>
          <w:rFonts w:ascii="Arial" w:hAnsi="Arial" w:cs="Arial"/>
          <w:b/>
          <w:lang w:val="en-US"/>
        </w:rPr>
        <w:t xml:space="preserve"> </w:t>
      </w:r>
      <w:r w:rsidR="00C665CD" w:rsidRPr="000646F6">
        <w:rPr>
          <w:rFonts w:ascii="Arial" w:hAnsi="Arial" w:cs="Arial"/>
          <w:b/>
          <w:lang w:val="en-US"/>
        </w:rPr>
        <w:t>Moreover</w:t>
      </w:r>
      <w:r w:rsidR="00D70D2F" w:rsidRPr="000646F6">
        <w:rPr>
          <w:rFonts w:ascii="Arial" w:hAnsi="Arial" w:cs="Arial"/>
          <w:b/>
          <w:lang w:val="en-US"/>
        </w:rPr>
        <w:t xml:space="preserve">, maintaining a valid TA becomes relevant to BL/CE UEs configured with long </w:t>
      </w:r>
      <w:proofErr w:type="spellStart"/>
      <w:r w:rsidR="00D70D2F" w:rsidRPr="000646F6">
        <w:rPr>
          <w:rFonts w:ascii="Arial" w:hAnsi="Arial" w:cs="Arial"/>
          <w:b/>
          <w:lang w:val="en-US"/>
        </w:rPr>
        <w:t>eDRX</w:t>
      </w:r>
      <w:proofErr w:type="spellEnd"/>
      <w:r w:rsidR="00D70D2F" w:rsidRPr="000646F6">
        <w:rPr>
          <w:rFonts w:ascii="Arial" w:hAnsi="Arial" w:cs="Arial"/>
          <w:b/>
          <w:lang w:val="en-US"/>
        </w:rPr>
        <w:t xml:space="preserve"> cycles.</w:t>
      </w:r>
      <w:bookmarkEnd w:id="7"/>
    </w:p>
    <w:p w14:paraId="44B23FC5" w14:textId="1D2422EE" w:rsidR="009F6F2C" w:rsidRPr="000646F6" w:rsidRDefault="009F6F2C" w:rsidP="00F63B14">
      <w:pPr>
        <w:tabs>
          <w:tab w:val="left" w:pos="720"/>
        </w:tabs>
        <w:jc w:val="both"/>
        <w:rPr>
          <w:rFonts w:ascii="Arial" w:hAnsi="Arial" w:cs="Arial"/>
          <w:b/>
          <w:lang w:val="en-US"/>
        </w:rPr>
      </w:pPr>
      <w:bookmarkStart w:id="8" w:name="P1"/>
      <w:r w:rsidRPr="000646F6">
        <w:rPr>
          <w:rFonts w:ascii="Arial" w:hAnsi="Arial" w:cs="Arial"/>
          <w:b/>
          <w:lang w:val="en-US"/>
        </w:rPr>
        <w:t xml:space="preserve">Proposal 1: Investigate whether part(s) of the existing TA mechanism need to be enhanced in such a way that the likelihood of retaining an obsolete TA value can be reduced. </w:t>
      </w:r>
      <w:r w:rsidR="00525A5B" w:rsidRPr="000646F6">
        <w:rPr>
          <w:rFonts w:ascii="Arial" w:hAnsi="Arial" w:cs="Arial"/>
          <w:b/>
          <w:lang w:val="en-US"/>
        </w:rPr>
        <w:t>This i</w:t>
      </w:r>
      <w:r w:rsidRPr="000646F6">
        <w:rPr>
          <w:rFonts w:ascii="Arial" w:hAnsi="Arial" w:cs="Arial"/>
          <w:b/>
          <w:lang w:val="en-US"/>
        </w:rPr>
        <w:t>nclud</w:t>
      </w:r>
      <w:r w:rsidR="00525A5B" w:rsidRPr="000646F6">
        <w:rPr>
          <w:rFonts w:ascii="Arial" w:hAnsi="Arial" w:cs="Arial"/>
          <w:b/>
          <w:lang w:val="en-US"/>
        </w:rPr>
        <w:t>es</w:t>
      </w:r>
      <w:r w:rsidRPr="000646F6">
        <w:rPr>
          <w:rFonts w:ascii="Arial" w:hAnsi="Arial" w:cs="Arial"/>
          <w:b/>
          <w:lang w:val="en-US"/>
        </w:rPr>
        <w:t xml:space="preserve"> finding way</w:t>
      </w:r>
      <w:r w:rsidR="00525A5B" w:rsidRPr="000646F6">
        <w:rPr>
          <w:rFonts w:ascii="Arial" w:hAnsi="Arial" w:cs="Arial"/>
          <w:b/>
          <w:lang w:val="en-US"/>
        </w:rPr>
        <w:t>s</w:t>
      </w:r>
      <w:r w:rsidRPr="000646F6">
        <w:rPr>
          <w:rFonts w:ascii="Arial" w:hAnsi="Arial" w:cs="Arial"/>
          <w:b/>
          <w:lang w:val="en-US"/>
        </w:rPr>
        <w:t xml:space="preserve"> </w:t>
      </w:r>
      <w:r w:rsidR="00D6721A" w:rsidRPr="000646F6">
        <w:rPr>
          <w:rFonts w:ascii="Arial" w:hAnsi="Arial" w:cs="Arial"/>
          <w:b/>
          <w:lang w:val="en-US"/>
        </w:rPr>
        <w:t>to</w:t>
      </w:r>
      <w:r w:rsidRPr="000646F6">
        <w:rPr>
          <w:rFonts w:ascii="Arial" w:hAnsi="Arial" w:cs="Arial"/>
          <w:b/>
          <w:lang w:val="en-US"/>
        </w:rPr>
        <w:t xml:space="preserve"> determin</w:t>
      </w:r>
      <w:r w:rsidR="00D6721A" w:rsidRPr="000646F6">
        <w:rPr>
          <w:rFonts w:ascii="Arial" w:hAnsi="Arial" w:cs="Arial"/>
          <w:b/>
          <w:lang w:val="en-US"/>
        </w:rPr>
        <w:t>e</w:t>
      </w:r>
      <w:r w:rsidRPr="000646F6">
        <w:rPr>
          <w:rFonts w:ascii="Arial" w:hAnsi="Arial" w:cs="Arial"/>
          <w:b/>
          <w:lang w:val="en-US"/>
        </w:rPr>
        <w:t xml:space="preserve"> if a formerly granted TA is still valid, so a device can maintain a valid TA configuration during idle mode.</w:t>
      </w:r>
      <w:bookmarkEnd w:id="8"/>
    </w:p>
    <w:p w14:paraId="1BC51137" w14:textId="77777777" w:rsidR="00F63B14" w:rsidRDefault="00F63B14" w:rsidP="00F63B14">
      <w:pPr>
        <w:pStyle w:val="Heading2"/>
      </w:pPr>
      <w:r>
        <w:t>2.2</w:t>
      </w:r>
      <w:r>
        <w:tab/>
        <w:t>Multiple Access Techniques related improvements</w:t>
      </w:r>
    </w:p>
    <w:p w14:paraId="72323768" w14:textId="54732642" w:rsidR="00F63B14" w:rsidRDefault="00F63B14" w:rsidP="00F63B14">
      <w:pPr>
        <w:jc w:val="both"/>
        <w:rPr>
          <w:rFonts w:ascii="Arial" w:hAnsi="Arial" w:cs="Arial"/>
        </w:rPr>
      </w:pPr>
      <w:r>
        <w:rPr>
          <w:rFonts w:ascii="Arial" w:hAnsi="Arial" w:cs="Arial"/>
        </w:rPr>
        <w:t>The WID’s objective also states that “</w:t>
      </w:r>
      <w:r>
        <w:rPr>
          <w:rFonts w:ascii="Arial" w:hAnsi="Arial" w:cs="Arial"/>
          <w:i/>
        </w:rPr>
        <w:t>Both shared resources and dedicated resources can be discussed</w:t>
      </w:r>
      <w:r>
        <w:rPr>
          <w:rFonts w:ascii="Arial" w:hAnsi="Arial" w:cs="Arial"/>
        </w:rPr>
        <w:t>”, which should be kept compliant with the note “Note: This is limited to orthogonal (multi) access schemes”.</w:t>
      </w:r>
    </w:p>
    <w:p w14:paraId="0B84751D" w14:textId="608F897E" w:rsidR="00F63B14" w:rsidRDefault="00F63B14" w:rsidP="00F63B14">
      <w:pPr>
        <w:jc w:val="both"/>
        <w:rPr>
          <w:rFonts w:ascii="Arial" w:hAnsi="Arial" w:cs="Arial"/>
        </w:rPr>
      </w:pPr>
      <w:r>
        <w:rPr>
          <w:rFonts w:ascii="Arial" w:hAnsi="Arial" w:cs="Arial"/>
        </w:rPr>
        <w:t xml:space="preserve">In terms </w:t>
      </w:r>
      <w:r w:rsidR="0018060D">
        <w:rPr>
          <w:rFonts w:ascii="Arial" w:hAnsi="Arial" w:cs="Arial"/>
        </w:rPr>
        <w:t xml:space="preserve">of </w:t>
      </w:r>
      <w:r>
        <w:rPr>
          <w:rFonts w:ascii="Arial" w:hAnsi="Arial" w:cs="Arial"/>
        </w:rPr>
        <w:t xml:space="preserve">“orthogonal (multi) access schemes”, in Rel-15 several techniques were discussed for addressing the objective of increasing the spectral efficiency of the PUSCH. The </w:t>
      </w:r>
      <w:r w:rsidR="00A2381A">
        <w:rPr>
          <w:rFonts w:ascii="Arial" w:hAnsi="Arial" w:cs="Arial"/>
        </w:rPr>
        <w:t>t</w:t>
      </w:r>
      <w:r>
        <w:rPr>
          <w:rFonts w:ascii="Arial" w:hAnsi="Arial" w:cs="Arial"/>
        </w:rPr>
        <w:t>able below summarizes the overall benefits of the discussed Multiple Access schemes.</w:t>
      </w:r>
    </w:p>
    <w:p w14:paraId="738D9566" w14:textId="77777777" w:rsidR="00F63B14" w:rsidRDefault="00F63B14" w:rsidP="00F63B14">
      <w:pPr>
        <w:ind w:left="720"/>
        <w:jc w:val="center"/>
        <w:rPr>
          <w:rFonts w:cs="Arial"/>
          <w:b/>
          <w:sz w:val="16"/>
        </w:rPr>
      </w:pPr>
      <w:r>
        <w:rPr>
          <w:rFonts w:cs="Arial"/>
          <w:b/>
          <w:sz w:val="16"/>
        </w:rPr>
        <w:t>Table 1:  Comparison of Multiple Access Schemes over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1341"/>
        <w:gridCol w:w="1003"/>
        <w:gridCol w:w="1400"/>
        <w:gridCol w:w="1191"/>
        <w:gridCol w:w="1347"/>
        <w:gridCol w:w="812"/>
        <w:gridCol w:w="1505"/>
      </w:tblGrid>
      <w:tr w:rsidR="00F63B14" w14:paraId="1CEAF942" w14:textId="77777777" w:rsidTr="00F63B14">
        <w:trPr>
          <w:jc w:val="center"/>
        </w:trPr>
        <w:tc>
          <w:tcPr>
            <w:tcW w:w="1030" w:type="dxa"/>
            <w:tcBorders>
              <w:top w:val="single" w:sz="4" w:space="0" w:color="auto"/>
              <w:left w:val="single" w:sz="4" w:space="0" w:color="auto"/>
              <w:bottom w:val="single" w:sz="4" w:space="0" w:color="auto"/>
              <w:right w:val="single" w:sz="4" w:space="0" w:color="auto"/>
            </w:tcBorders>
            <w:hideMark/>
          </w:tcPr>
          <w:p w14:paraId="19A96F48" w14:textId="77777777" w:rsidR="00F63B14" w:rsidRDefault="00F63B14">
            <w:pPr>
              <w:jc w:val="center"/>
              <w:rPr>
                <w:b/>
                <w:sz w:val="16"/>
              </w:rPr>
            </w:pPr>
            <w:r>
              <w:rPr>
                <w:b/>
                <w:sz w:val="16"/>
              </w:rPr>
              <w:t>Technique</w:t>
            </w:r>
          </w:p>
        </w:tc>
        <w:tc>
          <w:tcPr>
            <w:tcW w:w="1341" w:type="dxa"/>
            <w:tcBorders>
              <w:top w:val="single" w:sz="4" w:space="0" w:color="auto"/>
              <w:left w:val="single" w:sz="4" w:space="0" w:color="auto"/>
              <w:bottom w:val="single" w:sz="4" w:space="0" w:color="auto"/>
              <w:right w:val="single" w:sz="4" w:space="0" w:color="auto"/>
            </w:tcBorders>
            <w:hideMark/>
          </w:tcPr>
          <w:p w14:paraId="141ECF23" w14:textId="77777777" w:rsidR="00F63B14" w:rsidRDefault="00F63B14">
            <w:pPr>
              <w:jc w:val="center"/>
              <w:rPr>
                <w:b/>
                <w:sz w:val="16"/>
              </w:rPr>
            </w:pPr>
            <w:r>
              <w:rPr>
                <w:b/>
                <w:sz w:val="16"/>
              </w:rPr>
              <w:t>Increases the spectral efficiency</w:t>
            </w:r>
          </w:p>
        </w:tc>
        <w:tc>
          <w:tcPr>
            <w:tcW w:w="1003" w:type="dxa"/>
            <w:tcBorders>
              <w:top w:val="single" w:sz="4" w:space="0" w:color="auto"/>
              <w:left w:val="single" w:sz="4" w:space="0" w:color="auto"/>
              <w:bottom w:val="single" w:sz="4" w:space="0" w:color="auto"/>
              <w:right w:val="single" w:sz="4" w:space="0" w:color="auto"/>
            </w:tcBorders>
            <w:hideMark/>
          </w:tcPr>
          <w:p w14:paraId="7CFD2B1B" w14:textId="77777777" w:rsidR="00F63B14" w:rsidRDefault="00F63B14">
            <w:pPr>
              <w:jc w:val="center"/>
              <w:rPr>
                <w:b/>
                <w:sz w:val="16"/>
              </w:rPr>
            </w:pPr>
            <w:r>
              <w:rPr>
                <w:b/>
                <w:sz w:val="16"/>
              </w:rPr>
              <w:t>Improves</w:t>
            </w:r>
          </w:p>
          <w:p w14:paraId="176BB042" w14:textId="77777777" w:rsidR="00F63B14" w:rsidRDefault="00F63B14">
            <w:pPr>
              <w:jc w:val="center"/>
              <w:rPr>
                <w:b/>
                <w:sz w:val="16"/>
              </w:rPr>
            </w:pPr>
            <w:r>
              <w:rPr>
                <w:b/>
                <w:sz w:val="16"/>
              </w:rPr>
              <w:t>BLER</w:t>
            </w:r>
          </w:p>
        </w:tc>
        <w:tc>
          <w:tcPr>
            <w:tcW w:w="1400" w:type="dxa"/>
            <w:tcBorders>
              <w:top w:val="single" w:sz="4" w:space="0" w:color="auto"/>
              <w:left w:val="single" w:sz="4" w:space="0" w:color="auto"/>
              <w:bottom w:val="single" w:sz="4" w:space="0" w:color="auto"/>
              <w:right w:val="single" w:sz="4" w:space="0" w:color="auto"/>
            </w:tcBorders>
            <w:hideMark/>
          </w:tcPr>
          <w:p w14:paraId="19559AC9" w14:textId="77777777" w:rsidR="00F63B14" w:rsidRDefault="00F63B14">
            <w:pPr>
              <w:jc w:val="center"/>
              <w:rPr>
                <w:b/>
                <w:sz w:val="16"/>
              </w:rPr>
            </w:pPr>
            <w:r>
              <w:rPr>
                <w:b/>
                <w:sz w:val="16"/>
              </w:rPr>
              <w:t>Increases the Power Spectral Density (PSD)</w:t>
            </w:r>
          </w:p>
        </w:tc>
        <w:tc>
          <w:tcPr>
            <w:tcW w:w="1191" w:type="dxa"/>
            <w:tcBorders>
              <w:top w:val="single" w:sz="4" w:space="0" w:color="auto"/>
              <w:left w:val="single" w:sz="4" w:space="0" w:color="auto"/>
              <w:bottom w:val="single" w:sz="4" w:space="0" w:color="auto"/>
              <w:right w:val="single" w:sz="4" w:space="0" w:color="auto"/>
            </w:tcBorders>
            <w:hideMark/>
          </w:tcPr>
          <w:p w14:paraId="041FDD73" w14:textId="77777777" w:rsidR="00F63B14" w:rsidRDefault="00F63B14">
            <w:pPr>
              <w:jc w:val="center"/>
              <w:rPr>
                <w:b/>
                <w:sz w:val="16"/>
              </w:rPr>
            </w:pPr>
            <w:r>
              <w:rPr>
                <w:b/>
                <w:sz w:val="16"/>
              </w:rPr>
              <w:t>Improves the Channel Estimation</w:t>
            </w:r>
          </w:p>
        </w:tc>
        <w:tc>
          <w:tcPr>
            <w:tcW w:w="1347" w:type="dxa"/>
            <w:tcBorders>
              <w:top w:val="single" w:sz="4" w:space="0" w:color="auto"/>
              <w:left w:val="single" w:sz="4" w:space="0" w:color="auto"/>
              <w:bottom w:val="single" w:sz="4" w:space="0" w:color="auto"/>
              <w:right w:val="single" w:sz="4" w:space="0" w:color="auto"/>
            </w:tcBorders>
            <w:hideMark/>
          </w:tcPr>
          <w:p w14:paraId="557F42BE" w14:textId="77777777" w:rsidR="00F63B14" w:rsidRDefault="00F63B14">
            <w:pPr>
              <w:jc w:val="center"/>
              <w:rPr>
                <w:b/>
                <w:sz w:val="16"/>
              </w:rPr>
            </w:pPr>
            <w:r>
              <w:rPr>
                <w:b/>
                <w:sz w:val="16"/>
              </w:rPr>
              <w:t>Provides a PAPR reduction</w:t>
            </w:r>
          </w:p>
        </w:tc>
        <w:tc>
          <w:tcPr>
            <w:tcW w:w="812" w:type="dxa"/>
            <w:tcBorders>
              <w:top w:val="single" w:sz="4" w:space="0" w:color="auto"/>
              <w:left w:val="single" w:sz="4" w:space="0" w:color="auto"/>
              <w:bottom w:val="single" w:sz="4" w:space="0" w:color="auto"/>
              <w:right w:val="single" w:sz="4" w:space="0" w:color="auto"/>
            </w:tcBorders>
            <w:hideMark/>
          </w:tcPr>
          <w:p w14:paraId="0E30552F" w14:textId="77777777" w:rsidR="00F63B14" w:rsidRDefault="00F63B14">
            <w:pPr>
              <w:jc w:val="center"/>
              <w:rPr>
                <w:b/>
                <w:sz w:val="16"/>
              </w:rPr>
            </w:pPr>
            <w:r>
              <w:rPr>
                <w:b/>
                <w:sz w:val="16"/>
              </w:rPr>
              <w:t>Provides Battery savings</w:t>
            </w:r>
          </w:p>
        </w:tc>
        <w:tc>
          <w:tcPr>
            <w:tcW w:w="1505" w:type="dxa"/>
            <w:tcBorders>
              <w:top w:val="single" w:sz="4" w:space="0" w:color="auto"/>
              <w:left w:val="single" w:sz="4" w:space="0" w:color="auto"/>
              <w:bottom w:val="single" w:sz="4" w:space="0" w:color="auto"/>
              <w:right w:val="single" w:sz="4" w:space="0" w:color="auto"/>
            </w:tcBorders>
            <w:hideMark/>
          </w:tcPr>
          <w:p w14:paraId="6F409D99" w14:textId="77777777" w:rsidR="00F63B14" w:rsidRDefault="00F63B14">
            <w:pPr>
              <w:jc w:val="center"/>
              <w:rPr>
                <w:b/>
                <w:sz w:val="16"/>
              </w:rPr>
            </w:pPr>
            <w:r>
              <w:rPr>
                <w:b/>
                <w:sz w:val="16"/>
              </w:rPr>
              <w:t>Suitable for both CE mode A &amp; B</w:t>
            </w:r>
          </w:p>
        </w:tc>
      </w:tr>
      <w:tr w:rsidR="00F63B14" w14:paraId="2585F5E5" w14:textId="77777777" w:rsidTr="00F63B14">
        <w:trPr>
          <w:jc w:val="center"/>
        </w:trPr>
        <w:tc>
          <w:tcPr>
            <w:tcW w:w="1030" w:type="dxa"/>
            <w:tcBorders>
              <w:top w:val="single" w:sz="4" w:space="0" w:color="auto"/>
              <w:left w:val="single" w:sz="4" w:space="0" w:color="auto"/>
              <w:bottom w:val="single" w:sz="4" w:space="0" w:color="auto"/>
              <w:right w:val="single" w:sz="4" w:space="0" w:color="auto"/>
            </w:tcBorders>
            <w:hideMark/>
          </w:tcPr>
          <w:p w14:paraId="7D692A6C" w14:textId="77777777" w:rsidR="00F63B14" w:rsidRDefault="00F63B14">
            <w:pPr>
              <w:rPr>
                <w:sz w:val="16"/>
              </w:rPr>
            </w:pPr>
            <w:r>
              <w:rPr>
                <w:sz w:val="16"/>
              </w:rPr>
              <w:t>Sub-PRB</w:t>
            </w:r>
          </w:p>
        </w:tc>
        <w:tc>
          <w:tcPr>
            <w:tcW w:w="1341" w:type="dxa"/>
            <w:tcBorders>
              <w:top w:val="single" w:sz="4" w:space="0" w:color="auto"/>
              <w:left w:val="single" w:sz="4" w:space="0" w:color="auto"/>
              <w:bottom w:val="single" w:sz="4" w:space="0" w:color="auto"/>
              <w:right w:val="single" w:sz="4" w:space="0" w:color="auto"/>
            </w:tcBorders>
            <w:hideMark/>
          </w:tcPr>
          <w:p w14:paraId="468D5C15" w14:textId="77777777" w:rsidR="00F63B14" w:rsidRDefault="00F63B14">
            <w:pPr>
              <w:jc w:val="center"/>
              <w:rPr>
                <w:sz w:val="16"/>
              </w:rPr>
            </w:pPr>
            <w:r>
              <w:rPr>
                <w:sz w:val="16"/>
              </w:rPr>
              <w:t>Yes</w:t>
            </w:r>
          </w:p>
          <w:p w14:paraId="38126C5E" w14:textId="77777777" w:rsidR="00F63B14" w:rsidRDefault="00F63B14">
            <w:pPr>
              <w:jc w:val="center"/>
              <w:rPr>
                <w:sz w:val="12"/>
              </w:rPr>
            </w:pPr>
            <w:r>
              <w:rPr>
                <w:sz w:val="12"/>
              </w:rPr>
              <w:t>6 subcarriers: 100% spectral efficiency improvement (2 BL/CE devices coexisting)</w:t>
            </w:r>
          </w:p>
          <w:p w14:paraId="35D42AB7" w14:textId="77777777" w:rsidR="00F63B14" w:rsidRDefault="00F63B14">
            <w:pPr>
              <w:jc w:val="center"/>
              <w:rPr>
                <w:sz w:val="14"/>
              </w:rPr>
            </w:pPr>
            <w:r>
              <w:rPr>
                <w:sz w:val="12"/>
              </w:rPr>
              <w:t xml:space="preserve">3 subcarriers / 2-of-3 subcarriers: 300% spectral efficiency improvement (4 </w:t>
            </w:r>
            <w:r>
              <w:rPr>
                <w:sz w:val="12"/>
              </w:rPr>
              <w:lastRenderedPageBreak/>
              <w:t>BL/CE devices coexisting)</w:t>
            </w:r>
          </w:p>
        </w:tc>
        <w:tc>
          <w:tcPr>
            <w:tcW w:w="1003" w:type="dxa"/>
            <w:tcBorders>
              <w:top w:val="single" w:sz="4" w:space="0" w:color="auto"/>
              <w:left w:val="single" w:sz="4" w:space="0" w:color="auto"/>
              <w:bottom w:val="single" w:sz="4" w:space="0" w:color="auto"/>
              <w:right w:val="single" w:sz="4" w:space="0" w:color="auto"/>
            </w:tcBorders>
            <w:hideMark/>
          </w:tcPr>
          <w:p w14:paraId="27777CC8" w14:textId="77777777" w:rsidR="00F63B14" w:rsidRDefault="00F63B14">
            <w:pPr>
              <w:jc w:val="center"/>
              <w:rPr>
                <w:sz w:val="16"/>
              </w:rPr>
            </w:pPr>
            <w:r>
              <w:rPr>
                <w:sz w:val="16"/>
              </w:rPr>
              <w:lastRenderedPageBreak/>
              <w:t>Yes</w:t>
            </w:r>
          </w:p>
          <w:p w14:paraId="2DFAD761" w14:textId="77777777" w:rsidR="00F63B14" w:rsidRDefault="00F63B14">
            <w:pPr>
              <w:jc w:val="center"/>
              <w:rPr>
                <w:sz w:val="16"/>
              </w:rPr>
            </w:pPr>
            <w:r>
              <w:rPr>
                <w:sz w:val="12"/>
              </w:rPr>
              <w:t>(Depends on the TBS and number of repetitions)</w:t>
            </w:r>
          </w:p>
        </w:tc>
        <w:tc>
          <w:tcPr>
            <w:tcW w:w="1400" w:type="dxa"/>
            <w:tcBorders>
              <w:top w:val="single" w:sz="4" w:space="0" w:color="auto"/>
              <w:left w:val="single" w:sz="4" w:space="0" w:color="auto"/>
              <w:bottom w:val="single" w:sz="4" w:space="0" w:color="auto"/>
              <w:right w:val="single" w:sz="4" w:space="0" w:color="auto"/>
            </w:tcBorders>
            <w:hideMark/>
          </w:tcPr>
          <w:p w14:paraId="0B256C19" w14:textId="77777777" w:rsidR="00F63B14" w:rsidRDefault="00F63B14">
            <w:pPr>
              <w:jc w:val="center"/>
              <w:rPr>
                <w:sz w:val="16"/>
              </w:rPr>
            </w:pPr>
            <w:r>
              <w:rPr>
                <w:sz w:val="16"/>
              </w:rPr>
              <w:t>Yes</w:t>
            </w:r>
          </w:p>
          <w:p w14:paraId="35B0B5FA" w14:textId="77777777" w:rsidR="00F63B14" w:rsidRDefault="00F63B14">
            <w:pPr>
              <w:jc w:val="center"/>
              <w:rPr>
                <w:sz w:val="12"/>
              </w:rPr>
            </w:pPr>
            <w:r>
              <w:rPr>
                <w:sz w:val="12"/>
              </w:rPr>
              <w:t>6 subcarriers: 3dB PSD boost</w:t>
            </w:r>
          </w:p>
          <w:p w14:paraId="574208D1" w14:textId="77777777" w:rsidR="00F63B14" w:rsidRDefault="00F63B14">
            <w:pPr>
              <w:jc w:val="center"/>
              <w:rPr>
                <w:sz w:val="16"/>
              </w:rPr>
            </w:pPr>
            <w:r>
              <w:rPr>
                <w:sz w:val="12"/>
              </w:rPr>
              <w:t>3 subcarriers: 6dB PSD boost</w:t>
            </w:r>
          </w:p>
        </w:tc>
        <w:tc>
          <w:tcPr>
            <w:tcW w:w="1191" w:type="dxa"/>
            <w:tcBorders>
              <w:top w:val="single" w:sz="4" w:space="0" w:color="auto"/>
              <w:left w:val="single" w:sz="4" w:space="0" w:color="auto"/>
              <w:bottom w:val="single" w:sz="4" w:space="0" w:color="auto"/>
              <w:right w:val="single" w:sz="4" w:space="0" w:color="auto"/>
            </w:tcBorders>
            <w:hideMark/>
          </w:tcPr>
          <w:p w14:paraId="1B592154" w14:textId="77777777" w:rsidR="00F63B14" w:rsidRDefault="00F63B14">
            <w:pPr>
              <w:jc w:val="center"/>
              <w:rPr>
                <w:sz w:val="16"/>
              </w:rPr>
            </w:pPr>
            <w:r>
              <w:rPr>
                <w:sz w:val="16"/>
              </w:rPr>
              <w:t>No</w:t>
            </w:r>
          </w:p>
          <w:p w14:paraId="45606078" w14:textId="77777777" w:rsidR="00F63B14" w:rsidRDefault="00F63B14">
            <w:pPr>
              <w:jc w:val="center"/>
              <w:rPr>
                <w:sz w:val="16"/>
              </w:rPr>
            </w:pPr>
            <w:r>
              <w:rPr>
                <w:sz w:val="12"/>
              </w:rPr>
              <w:t>(The channel estimation performance is maintained due that the DMRS is PSD boosted)</w:t>
            </w:r>
          </w:p>
        </w:tc>
        <w:tc>
          <w:tcPr>
            <w:tcW w:w="1347" w:type="dxa"/>
            <w:tcBorders>
              <w:top w:val="single" w:sz="4" w:space="0" w:color="auto"/>
              <w:left w:val="single" w:sz="4" w:space="0" w:color="auto"/>
              <w:bottom w:val="single" w:sz="4" w:space="0" w:color="auto"/>
              <w:right w:val="single" w:sz="4" w:space="0" w:color="auto"/>
            </w:tcBorders>
          </w:tcPr>
          <w:p w14:paraId="1D61A3FA" w14:textId="77777777" w:rsidR="00F63B14" w:rsidRDefault="00F63B14">
            <w:pPr>
              <w:jc w:val="center"/>
              <w:rPr>
                <w:sz w:val="16"/>
              </w:rPr>
            </w:pPr>
            <w:r>
              <w:rPr>
                <w:sz w:val="16"/>
              </w:rPr>
              <w:t>Yes</w:t>
            </w:r>
          </w:p>
          <w:p w14:paraId="45DC7321" w14:textId="7D9A869A" w:rsidR="00F63B14" w:rsidRPr="00F17799" w:rsidRDefault="00F63B14">
            <w:pPr>
              <w:jc w:val="center"/>
              <w:rPr>
                <w:sz w:val="12"/>
              </w:rPr>
            </w:pPr>
            <w:r>
              <w:rPr>
                <w:sz w:val="12"/>
              </w:rPr>
              <w:t xml:space="preserve">6 subcarriers: 5.5dB </w:t>
            </w:r>
            <w:r w:rsidRPr="00F17799">
              <w:rPr>
                <w:sz w:val="12"/>
              </w:rPr>
              <w:t>[</w:t>
            </w:r>
            <w:r w:rsidR="007A6952" w:rsidRPr="00F17799">
              <w:rPr>
                <w:sz w:val="12"/>
              </w:rPr>
              <w:t>3</w:t>
            </w:r>
            <w:r w:rsidRPr="00F17799">
              <w:rPr>
                <w:sz w:val="12"/>
              </w:rPr>
              <w:t>]</w:t>
            </w:r>
          </w:p>
          <w:p w14:paraId="35399381" w14:textId="2C2ACE5D" w:rsidR="00F63B14" w:rsidRPr="00F17799" w:rsidRDefault="00F63B14">
            <w:pPr>
              <w:jc w:val="center"/>
              <w:rPr>
                <w:sz w:val="12"/>
              </w:rPr>
            </w:pPr>
            <w:r w:rsidRPr="00F17799">
              <w:rPr>
                <w:sz w:val="12"/>
              </w:rPr>
              <w:t>3 subcarriers: 3.3dB [</w:t>
            </w:r>
            <w:r w:rsidR="007A6952" w:rsidRPr="00F17799">
              <w:rPr>
                <w:sz w:val="12"/>
              </w:rPr>
              <w:t>3</w:t>
            </w:r>
            <w:r w:rsidRPr="00F17799">
              <w:rPr>
                <w:sz w:val="12"/>
              </w:rPr>
              <w:t>]</w:t>
            </w:r>
          </w:p>
          <w:p w14:paraId="7CDC7F85" w14:textId="778D5121" w:rsidR="00F63B14" w:rsidRDefault="00F63B14">
            <w:pPr>
              <w:jc w:val="center"/>
              <w:rPr>
                <w:sz w:val="12"/>
              </w:rPr>
            </w:pPr>
            <w:r w:rsidRPr="00F17799">
              <w:rPr>
                <w:sz w:val="12"/>
              </w:rPr>
              <w:t>2-of-3 subcarriers: 1.1 dB / 0.3dB [</w:t>
            </w:r>
            <w:r w:rsidR="007A6952" w:rsidRPr="00F17799">
              <w:rPr>
                <w:sz w:val="12"/>
              </w:rPr>
              <w:t>4</w:t>
            </w:r>
            <w:r w:rsidRPr="00F17799">
              <w:rPr>
                <w:sz w:val="12"/>
              </w:rPr>
              <w:t>]</w:t>
            </w:r>
          </w:p>
          <w:p w14:paraId="32151258" w14:textId="77777777" w:rsidR="00F63B14" w:rsidRDefault="00F63B14">
            <w:pPr>
              <w:rPr>
                <w:sz w:val="16"/>
              </w:rPr>
            </w:pPr>
          </w:p>
        </w:tc>
        <w:tc>
          <w:tcPr>
            <w:tcW w:w="812" w:type="dxa"/>
            <w:tcBorders>
              <w:top w:val="single" w:sz="4" w:space="0" w:color="auto"/>
              <w:left w:val="single" w:sz="4" w:space="0" w:color="auto"/>
              <w:bottom w:val="single" w:sz="4" w:space="0" w:color="auto"/>
              <w:right w:val="single" w:sz="4" w:space="0" w:color="auto"/>
            </w:tcBorders>
            <w:hideMark/>
          </w:tcPr>
          <w:p w14:paraId="6D6D8BB7" w14:textId="77777777" w:rsidR="00F63B14" w:rsidRDefault="00F63B14">
            <w:pPr>
              <w:jc w:val="center"/>
              <w:rPr>
                <w:sz w:val="16"/>
              </w:rPr>
            </w:pPr>
            <w:r>
              <w:rPr>
                <w:sz w:val="16"/>
              </w:rPr>
              <w:lastRenderedPageBreak/>
              <w:t>Yes</w:t>
            </w:r>
          </w:p>
          <w:p w14:paraId="1E95CBD7" w14:textId="77777777" w:rsidR="00F63B14" w:rsidRDefault="00F63B14">
            <w:pPr>
              <w:jc w:val="center"/>
              <w:rPr>
                <w:sz w:val="12"/>
              </w:rPr>
            </w:pPr>
            <w:r>
              <w:rPr>
                <w:sz w:val="12"/>
              </w:rPr>
              <w:t>(PA operates more efficiently)</w:t>
            </w:r>
          </w:p>
          <w:p w14:paraId="73B9C15B" w14:textId="77777777" w:rsidR="00F63B14" w:rsidRDefault="00F63B14">
            <w:pPr>
              <w:jc w:val="center"/>
              <w:rPr>
                <w:sz w:val="16"/>
              </w:rPr>
            </w:pPr>
            <w:r>
              <w:rPr>
                <w:sz w:val="12"/>
              </w:rPr>
              <w:t>[8]</w:t>
            </w:r>
          </w:p>
        </w:tc>
        <w:tc>
          <w:tcPr>
            <w:tcW w:w="1505" w:type="dxa"/>
            <w:tcBorders>
              <w:top w:val="single" w:sz="4" w:space="0" w:color="auto"/>
              <w:left w:val="single" w:sz="4" w:space="0" w:color="auto"/>
              <w:bottom w:val="single" w:sz="4" w:space="0" w:color="auto"/>
              <w:right w:val="single" w:sz="4" w:space="0" w:color="auto"/>
            </w:tcBorders>
            <w:hideMark/>
          </w:tcPr>
          <w:p w14:paraId="383BC07D" w14:textId="77777777" w:rsidR="00F63B14" w:rsidRDefault="00F63B14">
            <w:pPr>
              <w:jc w:val="center"/>
              <w:rPr>
                <w:sz w:val="16"/>
              </w:rPr>
            </w:pPr>
            <w:r>
              <w:rPr>
                <w:sz w:val="16"/>
              </w:rPr>
              <w:t>Yes</w:t>
            </w:r>
          </w:p>
          <w:p w14:paraId="67543BC6" w14:textId="77777777" w:rsidR="00F63B14" w:rsidRDefault="00F63B14">
            <w:pPr>
              <w:jc w:val="center"/>
              <w:rPr>
                <w:sz w:val="16"/>
              </w:rPr>
            </w:pPr>
            <w:r>
              <w:rPr>
                <w:sz w:val="12"/>
              </w:rPr>
              <w:t xml:space="preserve">(In addition of opening the possibility of scheduling more BL/CE devices over the same time-frequency resources for both CE Mode A and B, in case of the number of repetitions associated to CE mode A, the throughput can be maintained with respect to </w:t>
            </w:r>
            <w:r>
              <w:rPr>
                <w:sz w:val="12"/>
              </w:rPr>
              <w:lastRenderedPageBreak/>
              <w:t>a full PRB allocation, while for the number of repetitions associated to CE mode B, there is a slight throughput gain [3])</w:t>
            </w:r>
          </w:p>
        </w:tc>
      </w:tr>
      <w:tr w:rsidR="00F63B14" w14:paraId="527FB20B" w14:textId="77777777" w:rsidTr="00F63B14">
        <w:trPr>
          <w:jc w:val="center"/>
        </w:trPr>
        <w:tc>
          <w:tcPr>
            <w:tcW w:w="1030" w:type="dxa"/>
            <w:tcBorders>
              <w:top w:val="single" w:sz="4" w:space="0" w:color="auto"/>
              <w:left w:val="single" w:sz="4" w:space="0" w:color="auto"/>
              <w:bottom w:val="single" w:sz="4" w:space="0" w:color="auto"/>
              <w:right w:val="single" w:sz="4" w:space="0" w:color="auto"/>
            </w:tcBorders>
            <w:hideMark/>
          </w:tcPr>
          <w:p w14:paraId="1F37194D" w14:textId="77777777" w:rsidR="00F63B14" w:rsidRDefault="00F63B14">
            <w:pPr>
              <w:rPr>
                <w:sz w:val="16"/>
              </w:rPr>
            </w:pPr>
            <w:r>
              <w:rPr>
                <w:sz w:val="16"/>
              </w:rPr>
              <w:lastRenderedPageBreak/>
              <w:t>CDMA</w:t>
            </w:r>
          </w:p>
        </w:tc>
        <w:tc>
          <w:tcPr>
            <w:tcW w:w="1341" w:type="dxa"/>
            <w:tcBorders>
              <w:top w:val="single" w:sz="4" w:space="0" w:color="auto"/>
              <w:left w:val="single" w:sz="4" w:space="0" w:color="auto"/>
              <w:bottom w:val="single" w:sz="4" w:space="0" w:color="auto"/>
              <w:right w:val="single" w:sz="4" w:space="0" w:color="auto"/>
            </w:tcBorders>
            <w:hideMark/>
          </w:tcPr>
          <w:p w14:paraId="1FD260E9" w14:textId="77777777" w:rsidR="00F63B14" w:rsidRDefault="00F63B14">
            <w:pPr>
              <w:jc w:val="center"/>
              <w:rPr>
                <w:sz w:val="16"/>
              </w:rPr>
            </w:pPr>
            <w:r>
              <w:rPr>
                <w:sz w:val="16"/>
              </w:rPr>
              <w:t>Yes</w:t>
            </w:r>
          </w:p>
          <w:p w14:paraId="64DC9E7D" w14:textId="77777777" w:rsidR="00F63B14" w:rsidRDefault="00F63B14">
            <w:pPr>
              <w:jc w:val="center"/>
              <w:rPr>
                <w:sz w:val="16"/>
              </w:rPr>
            </w:pPr>
            <w:r>
              <w:rPr>
                <w:sz w:val="12"/>
              </w:rPr>
              <w:t>SF = 4 (repetitions convey identical information in quadruplets of subframes): 300% spectral efficiency improvement (4 BL/CE devices coexisting)</w:t>
            </w:r>
          </w:p>
        </w:tc>
        <w:tc>
          <w:tcPr>
            <w:tcW w:w="1003" w:type="dxa"/>
            <w:tcBorders>
              <w:top w:val="single" w:sz="4" w:space="0" w:color="auto"/>
              <w:left w:val="single" w:sz="4" w:space="0" w:color="auto"/>
              <w:bottom w:val="single" w:sz="4" w:space="0" w:color="auto"/>
              <w:right w:val="single" w:sz="4" w:space="0" w:color="auto"/>
            </w:tcBorders>
            <w:hideMark/>
          </w:tcPr>
          <w:p w14:paraId="7EB90510" w14:textId="77777777" w:rsidR="00F63B14" w:rsidRDefault="00F63B14">
            <w:pPr>
              <w:jc w:val="center"/>
              <w:rPr>
                <w:sz w:val="16"/>
              </w:rPr>
            </w:pPr>
            <w:r>
              <w:rPr>
                <w:sz w:val="16"/>
              </w:rPr>
              <w:t>No</w:t>
            </w:r>
          </w:p>
          <w:p w14:paraId="1B0426FC" w14:textId="77777777" w:rsidR="00F63B14" w:rsidRDefault="00F63B14">
            <w:pPr>
              <w:jc w:val="center"/>
              <w:rPr>
                <w:sz w:val="16"/>
              </w:rPr>
            </w:pPr>
            <w:r>
              <w:rPr>
                <w:sz w:val="12"/>
              </w:rPr>
              <w:t>(Maintained only)</w:t>
            </w:r>
          </w:p>
        </w:tc>
        <w:tc>
          <w:tcPr>
            <w:tcW w:w="1400" w:type="dxa"/>
            <w:tcBorders>
              <w:top w:val="single" w:sz="4" w:space="0" w:color="auto"/>
              <w:left w:val="single" w:sz="4" w:space="0" w:color="auto"/>
              <w:bottom w:val="single" w:sz="4" w:space="0" w:color="auto"/>
              <w:right w:val="single" w:sz="4" w:space="0" w:color="auto"/>
            </w:tcBorders>
            <w:hideMark/>
          </w:tcPr>
          <w:p w14:paraId="095841E1" w14:textId="77777777" w:rsidR="00F63B14" w:rsidRDefault="00F63B14">
            <w:pPr>
              <w:jc w:val="center"/>
              <w:rPr>
                <w:sz w:val="16"/>
              </w:rPr>
            </w:pPr>
            <w:r>
              <w:rPr>
                <w:sz w:val="16"/>
              </w:rPr>
              <w:t>Yes</w:t>
            </w:r>
          </w:p>
          <w:p w14:paraId="19E40E49" w14:textId="77777777" w:rsidR="00F63B14" w:rsidRDefault="00F63B14">
            <w:pPr>
              <w:jc w:val="center"/>
              <w:rPr>
                <w:sz w:val="16"/>
              </w:rPr>
            </w:pPr>
            <w:r>
              <w:rPr>
                <w:sz w:val="12"/>
              </w:rPr>
              <w:t>Summing over all the orthogonal transmissions, there is an increased PSD on total received signal.</w:t>
            </w:r>
          </w:p>
        </w:tc>
        <w:tc>
          <w:tcPr>
            <w:tcW w:w="1191" w:type="dxa"/>
            <w:tcBorders>
              <w:top w:val="single" w:sz="4" w:space="0" w:color="auto"/>
              <w:left w:val="single" w:sz="4" w:space="0" w:color="auto"/>
              <w:bottom w:val="single" w:sz="4" w:space="0" w:color="auto"/>
              <w:right w:val="single" w:sz="4" w:space="0" w:color="auto"/>
            </w:tcBorders>
            <w:hideMark/>
          </w:tcPr>
          <w:p w14:paraId="5D04CD2D" w14:textId="77777777" w:rsidR="00F63B14" w:rsidRDefault="00F63B14">
            <w:pPr>
              <w:jc w:val="center"/>
              <w:rPr>
                <w:sz w:val="16"/>
              </w:rPr>
            </w:pPr>
            <w:r>
              <w:rPr>
                <w:sz w:val="16"/>
              </w:rPr>
              <w:t>No</w:t>
            </w:r>
          </w:p>
          <w:p w14:paraId="1C401C34" w14:textId="77777777" w:rsidR="00F63B14" w:rsidRDefault="00F63B14">
            <w:pPr>
              <w:jc w:val="center"/>
              <w:rPr>
                <w:sz w:val="16"/>
              </w:rPr>
            </w:pPr>
            <w:r>
              <w:rPr>
                <w:sz w:val="12"/>
              </w:rPr>
              <w:t>(Remains the same)</w:t>
            </w:r>
          </w:p>
        </w:tc>
        <w:tc>
          <w:tcPr>
            <w:tcW w:w="1347" w:type="dxa"/>
            <w:tcBorders>
              <w:top w:val="single" w:sz="4" w:space="0" w:color="auto"/>
              <w:left w:val="single" w:sz="4" w:space="0" w:color="auto"/>
              <w:bottom w:val="single" w:sz="4" w:space="0" w:color="auto"/>
              <w:right w:val="single" w:sz="4" w:space="0" w:color="auto"/>
            </w:tcBorders>
            <w:hideMark/>
          </w:tcPr>
          <w:p w14:paraId="6286BD19" w14:textId="77777777" w:rsidR="00F63B14" w:rsidRDefault="00F63B14">
            <w:pPr>
              <w:jc w:val="center"/>
              <w:rPr>
                <w:sz w:val="16"/>
              </w:rPr>
            </w:pPr>
            <w:r>
              <w:rPr>
                <w:sz w:val="16"/>
              </w:rPr>
              <w:t>No</w:t>
            </w:r>
          </w:p>
        </w:tc>
        <w:tc>
          <w:tcPr>
            <w:tcW w:w="812" w:type="dxa"/>
            <w:tcBorders>
              <w:top w:val="single" w:sz="4" w:space="0" w:color="auto"/>
              <w:left w:val="single" w:sz="4" w:space="0" w:color="auto"/>
              <w:bottom w:val="single" w:sz="4" w:space="0" w:color="auto"/>
              <w:right w:val="single" w:sz="4" w:space="0" w:color="auto"/>
            </w:tcBorders>
            <w:hideMark/>
          </w:tcPr>
          <w:p w14:paraId="6611497D" w14:textId="77777777" w:rsidR="00F63B14" w:rsidRDefault="00F63B14">
            <w:pPr>
              <w:jc w:val="center"/>
              <w:rPr>
                <w:sz w:val="16"/>
              </w:rPr>
            </w:pPr>
            <w:r>
              <w:rPr>
                <w:sz w:val="16"/>
              </w:rPr>
              <w:t>No</w:t>
            </w:r>
          </w:p>
        </w:tc>
        <w:tc>
          <w:tcPr>
            <w:tcW w:w="1505" w:type="dxa"/>
            <w:tcBorders>
              <w:top w:val="single" w:sz="4" w:space="0" w:color="auto"/>
              <w:left w:val="single" w:sz="4" w:space="0" w:color="auto"/>
              <w:bottom w:val="single" w:sz="4" w:space="0" w:color="auto"/>
              <w:right w:val="single" w:sz="4" w:space="0" w:color="auto"/>
            </w:tcBorders>
            <w:hideMark/>
          </w:tcPr>
          <w:p w14:paraId="403D1F58" w14:textId="77777777" w:rsidR="00F63B14" w:rsidRDefault="00F63B14">
            <w:pPr>
              <w:jc w:val="center"/>
              <w:rPr>
                <w:sz w:val="16"/>
              </w:rPr>
            </w:pPr>
            <w:r>
              <w:rPr>
                <w:sz w:val="16"/>
              </w:rPr>
              <w:t>Yes</w:t>
            </w:r>
          </w:p>
          <w:p w14:paraId="03E85222" w14:textId="77777777" w:rsidR="00F63B14" w:rsidRDefault="00F63B14">
            <w:pPr>
              <w:jc w:val="center"/>
              <w:rPr>
                <w:sz w:val="12"/>
              </w:rPr>
            </w:pPr>
            <w:r>
              <w:rPr>
                <w:sz w:val="12"/>
              </w:rPr>
              <w:t>(From the perspective of having more BL/CE devices over the same time-frequency resources)</w:t>
            </w:r>
          </w:p>
          <w:p w14:paraId="02A389B1" w14:textId="77777777" w:rsidR="00F63B14" w:rsidRDefault="00F63B14">
            <w:pPr>
              <w:jc w:val="center"/>
              <w:rPr>
                <w:sz w:val="12"/>
              </w:rPr>
            </w:pPr>
            <w:r>
              <w:rPr>
                <w:sz w:val="12"/>
              </w:rPr>
              <w:t>Due to the near-far problem, only BL/CE devices belonging to the same CE mode could be multiplexed.</w:t>
            </w:r>
          </w:p>
          <w:p w14:paraId="56E60CA3" w14:textId="77777777" w:rsidR="00F63B14" w:rsidRDefault="00F63B14">
            <w:pPr>
              <w:jc w:val="center"/>
              <w:rPr>
                <w:sz w:val="16"/>
              </w:rPr>
            </w:pPr>
            <w:r>
              <w:rPr>
                <w:sz w:val="12"/>
              </w:rPr>
              <w:t>The orthogonality requires that the maximum carrier frequency offsets (CFO) do not be large [9]</w:t>
            </w:r>
          </w:p>
        </w:tc>
      </w:tr>
      <w:tr w:rsidR="00F63B14" w14:paraId="5BA2FAD7" w14:textId="77777777" w:rsidTr="00F63B14">
        <w:trPr>
          <w:jc w:val="center"/>
        </w:trPr>
        <w:tc>
          <w:tcPr>
            <w:tcW w:w="1030" w:type="dxa"/>
            <w:tcBorders>
              <w:top w:val="single" w:sz="4" w:space="0" w:color="auto"/>
              <w:left w:val="single" w:sz="4" w:space="0" w:color="auto"/>
              <w:bottom w:val="single" w:sz="4" w:space="0" w:color="auto"/>
              <w:right w:val="single" w:sz="4" w:space="0" w:color="auto"/>
            </w:tcBorders>
            <w:hideMark/>
          </w:tcPr>
          <w:p w14:paraId="07DE1EE6" w14:textId="77777777" w:rsidR="00F63B14" w:rsidRDefault="00F63B14">
            <w:pPr>
              <w:rPr>
                <w:sz w:val="16"/>
              </w:rPr>
            </w:pPr>
            <w:r>
              <w:rPr>
                <w:sz w:val="16"/>
              </w:rPr>
              <w:t>MU-MIMO</w:t>
            </w:r>
          </w:p>
        </w:tc>
        <w:tc>
          <w:tcPr>
            <w:tcW w:w="1341" w:type="dxa"/>
            <w:tcBorders>
              <w:top w:val="single" w:sz="4" w:space="0" w:color="auto"/>
              <w:left w:val="single" w:sz="4" w:space="0" w:color="auto"/>
              <w:bottom w:val="single" w:sz="4" w:space="0" w:color="auto"/>
              <w:right w:val="single" w:sz="4" w:space="0" w:color="auto"/>
            </w:tcBorders>
            <w:hideMark/>
          </w:tcPr>
          <w:p w14:paraId="6F541B4B" w14:textId="77777777" w:rsidR="00F63B14" w:rsidRDefault="00F63B14">
            <w:pPr>
              <w:jc w:val="center"/>
              <w:rPr>
                <w:sz w:val="16"/>
              </w:rPr>
            </w:pPr>
            <w:r>
              <w:rPr>
                <w:sz w:val="16"/>
              </w:rPr>
              <w:t>Yes</w:t>
            </w:r>
          </w:p>
          <w:p w14:paraId="08A7FFDD" w14:textId="77777777" w:rsidR="00F63B14" w:rsidRDefault="00F63B14">
            <w:pPr>
              <w:jc w:val="center"/>
              <w:rPr>
                <w:sz w:val="12"/>
              </w:rPr>
            </w:pPr>
            <w:r>
              <w:rPr>
                <w:sz w:val="12"/>
              </w:rPr>
              <w:t>Depends on the number of beams. 4 Rx antennas: 300% spectral efficiency improvement (4 BL/CE devices coexisting)</w:t>
            </w:r>
          </w:p>
        </w:tc>
        <w:tc>
          <w:tcPr>
            <w:tcW w:w="1003" w:type="dxa"/>
            <w:tcBorders>
              <w:top w:val="single" w:sz="4" w:space="0" w:color="auto"/>
              <w:left w:val="single" w:sz="4" w:space="0" w:color="auto"/>
              <w:bottom w:val="single" w:sz="4" w:space="0" w:color="auto"/>
              <w:right w:val="single" w:sz="4" w:space="0" w:color="auto"/>
            </w:tcBorders>
            <w:hideMark/>
          </w:tcPr>
          <w:p w14:paraId="300F7F41" w14:textId="77777777" w:rsidR="00F63B14" w:rsidRDefault="00F63B14">
            <w:pPr>
              <w:jc w:val="center"/>
              <w:rPr>
                <w:sz w:val="16"/>
              </w:rPr>
            </w:pPr>
            <w:r>
              <w:rPr>
                <w:sz w:val="16"/>
              </w:rPr>
              <w:t>No</w:t>
            </w:r>
          </w:p>
          <w:p w14:paraId="5D919C68" w14:textId="77777777" w:rsidR="00F63B14" w:rsidRDefault="00F63B14">
            <w:pPr>
              <w:jc w:val="center"/>
              <w:rPr>
                <w:sz w:val="16"/>
              </w:rPr>
            </w:pPr>
            <w:r>
              <w:rPr>
                <w:sz w:val="12"/>
              </w:rPr>
              <w:t>(Maintained only)</w:t>
            </w:r>
          </w:p>
        </w:tc>
        <w:tc>
          <w:tcPr>
            <w:tcW w:w="1400" w:type="dxa"/>
            <w:tcBorders>
              <w:top w:val="single" w:sz="4" w:space="0" w:color="auto"/>
              <w:left w:val="single" w:sz="4" w:space="0" w:color="auto"/>
              <w:bottom w:val="single" w:sz="4" w:space="0" w:color="auto"/>
              <w:right w:val="single" w:sz="4" w:space="0" w:color="auto"/>
            </w:tcBorders>
            <w:hideMark/>
          </w:tcPr>
          <w:p w14:paraId="362A19AC" w14:textId="77777777" w:rsidR="00F63B14" w:rsidRDefault="00F63B14">
            <w:pPr>
              <w:jc w:val="center"/>
              <w:rPr>
                <w:sz w:val="16"/>
              </w:rPr>
            </w:pPr>
            <w:r>
              <w:rPr>
                <w:sz w:val="16"/>
              </w:rPr>
              <w:t>Yes</w:t>
            </w:r>
          </w:p>
          <w:p w14:paraId="0827B7CD" w14:textId="77777777" w:rsidR="00F63B14" w:rsidRDefault="00F63B14">
            <w:pPr>
              <w:jc w:val="center"/>
              <w:rPr>
                <w:sz w:val="16"/>
              </w:rPr>
            </w:pPr>
            <w:r>
              <w:rPr>
                <w:sz w:val="12"/>
              </w:rPr>
              <w:t>Summing over all the orthogonal transmissions, there is an increased PSD on total received signal.</w:t>
            </w:r>
          </w:p>
        </w:tc>
        <w:tc>
          <w:tcPr>
            <w:tcW w:w="1191" w:type="dxa"/>
            <w:tcBorders>
              <w:top w:val="single" w:sz="4" w:space="0" w:color="auto"/>
              <w:left w:val="single" w:sz="4" w:space="0" w:color="auto"/>
              <w:bottom w:val="single" w:sz="4" w:space="0" w:color="auto"/>
              <w:right w:val="single" w:sz="4" w:space="0" w:color="auto"/>
            </w:tcBorders>
            <w:hideMark/>
          </w:tcPr>
          <w:p w14:paraId="76C2DE8E" w14:textId="77777777" w:rsidR="00F63B14" w:rsidRDefault="00F63B14">
            <w:pPr>
              <w:jc w:val="center"/>
              <w:rPr>
                <w:sz w:val="16"/>
              </w:rPr>
            </w:pPr>
            <w:r>
              <w:rPr>
                <w:sz w:val="16"/>
              </w:rPr>
              <w:t>No</w:t>
            </w:r>
          </w:p>
          <w:p w14:paraId="2CE0D86F" w14:textId="77777777" w:rsidR="00F63B14" w:rsidRDefault="00F63B14">
            <w:pPr>
              <w:jc w:val="center"/>
              <w:rPr>
                <w:sz w:val="16"/>
              </w:rPr>
            </w:pPr>
            <w:r>
              <w:rPr>
                <w:sz w:val="12"/>
              </w:rPr>
              <w:t>(Remains the same)</w:t>
            </w:r>
          </w:p>
        </w:tc>
        <w:tc>
          <w:tcPr>
            <w:tcW w:w="1347" w:type="dxa"/>
            <w:tcBorders>
              <w:top w:val="single" w:sz="4" w:space="0" w:color="auto"/>
              <w:left w:val="single" w:sz="4" w:space="0" w:color="auto"/>
              <w:bottom w:val="single" w:sz="4" w:space="0" w:color="auto"/>
              <w:right w:val="single" w:sz="4" w:space="0" w:color="auto"/>
            </w:tcBorders>
            <w:hideMark/>
          </w:tcPr>
          <w:p w14:paraId="48DBF510" w14:textId="77777777" w:rsidR="00F63B14" w:rsidRDefault="00F63B14">
            <w:pPr>
              <w:jc w:val="center"/>
              <w:rPr>
                <w:sz w:val="16"/>
              </w:rPr>
            </w:pPr>
            <w:r>
              <w:rPr>
                <w:sz w:val="16"/>
              </w:rPr>
              <w:t>No</w:t>
            </w:r>
          </w:p>
        </w:tc>
        <w:tc>
          <w:tcPr>
            <w:tcW w:w="812" w:type="dxa"/>
            <w:tcBorders>
              <w:top w:val="single" w:sz="4" w:space="0" w:color="auto"/>
              <w:left w:val="single" w:sz="4" w:space="0" w:color="auto"/>
              <w:bottom w:val="single" w:sz="4" w:space="0" w:color="auto"/>
              <w:right w:val="single" w:sz="4" w:space="0" w:color="auto"/>
            </w:tcBorders>
            <w:hideMark/>
          </w:tcPr>
          <w:p w14:paraId="39553F61" w14:textId="77777777" w:rsidR="00F63B14" w:rsidRDefault="00F63B14">
            <w:pPr>
              <w:jc w:val="center"/>
              <w:rPr>
                <w:sz w:val="16"/>
              </w:rPr>
            </w:pPr>
            <w:r>
              <w:rPr>
                <w:sz w:val="16"/>
              </w:rPr>
              <w:t>No</w:t>
            </w:r>
          </w:p>
        </w:tc>
        <w:tc>
          <w:tcPr>
            <w:tcW w:w="1505" w:type="dxa"/>
            <w:tcBorders>
              <w:top w:val="single" w:sz="4" w:space="0" w:color="auto"/>
              <w:left w:val="single" w:sz="4" w:space="0" w:color="auto"/>
              <w:bottom w:val="single" w:sz="4" w:space="0" w:color="auto"/>
              <w:right w:val="single" w:sz="4" w:space="0" w:color="auto"/>
            </w:tcBorders>
            <w:hideMark/>
          </w:tcPr>
          <w:p w14:paraId="166D3A8B" w14:textId="77777777" w:rsidR="00F63B14" w:rsidRDefault="00F63B14">
            <w:pPr>
              <w:jc w:val="center"/>
              <w:rPr>
                <w:sz w:val="16"/>
              </w:rPr>
            </w:pPr>
            <w:r>
              <w:rPr>
                <w:sz w:val="16"/>
              </w:rPr>
              <w:t>Yes</w:t>
            </w:r>
          </w:p>
          <w:p w14:paraId="776B92DA" w14:textId="77777777" w:rsidR="00F63B14" w:rsidRDefault="00F63B14">
            <w:pPr>
              <w:jc w:val="center"/>
              <w:rPr>
                <w:sz w:val="12"/>
              </w:rPr>
            </w:pPr>
            <w:r>
              <w:rPr>
                <w:sz w:val="12"/>
              </w:rPr>
              <w:t>(From the perspective of having more BL/CE devices over the same time-frequency resources)</w:t>
            </w:r>
          </w:p>
          <w:p w14:paraId="74EDA369" w14:textId="77777777" w:rsidR="00F63B14" w:rsidRDefault="00F63B14">
            <w:pPr>
              <w:jc w:val="center"/>
              <w:rPr>
                <w:sz w:val="12"/>
              </w:rPr>
            </w:pPr>
            <w:r>
              <w:rPr>
                <w:sz w:val="12"/>
              </w:rPr>
              <w:t>Due to co-channel interference and the near-far problem, only BL/CE devices belonging to the same CE mode could be multiplexed.</w:t>
            </w:r>
          </w:p>
        </w:tc>
      </w:tr>
    </w:tbl>
    <w:p w14:paraId="167DE226" w14:textId="77777777" w:rsidR="00F63B14" w:rsidRDefault="00F63B14" w:rsidP="00F63B14">
      <w:pPr>
        <w:jc w:val="both"/>
        <w:rPr>
          <w:rFonts w:ascii="Arial" w:hAnsi="Arial" w:cs="Arial"/>
        </w:rPr>
      </w:pPr>
    </w:p>
    <w:p w14:paraId="76598FB0" w14:textId="5E269B2D" w:rsidR="00F63B14" w:rsidRDefault="00F63B14" w:rsidP="00F63B14">
      <w:pPr>
        <w:jc w:val="both"/>
        <w:rPr>
          <w:rFonts w:ascii="Arial" w:hAnsi="Arial" w:cs="Arial"/>
        </w:rPr>
      </w:pPr>
      <w:r>
        <w:rPr>
          <w:rFonts w:ascii="Arial" w:hAnsi="Arial" w:cs="Arial"/>
        </w:rPr>
        <w:t>The Rel-15 discussions resulted in adopting the sub-PRB multiple access technique for increasing the PUSCH spectral efficiency</w:t>
      </w:r>
      <w:r w:rsidR="004A6BDC" w:rsidRPr="004A6BDC">
        <w:t xml:space="preserve"> </w:t>
      </w:r>
      <w:r w:rsidR="004A6BDC" w:rsidRPr="004A6BDC">
        <w:rPr>
          <w:rFonts w:ascii="Arial" w:hAnsi="Arial" w:cs="Arial"/>
        </w:rPr>
        <w:t xml:space="preserve">because in addition </w:t>
      </w:r>
      <w:r w:rsidR="00926CC0">
        <w:rPr>
          <w:rFonts w:ascii="Arial" w:hAnsi="Arial" w:cs="Arial"/>
        </w:rPr>
        <w:t>to</w:t>
      </w:r>
      <w:r w:rsidR="004A6BDC">
        <w:rPr>
          <w:rFonts w:ascii="Arial" w:hAnsi="Arial" w:cs="Arial"/>
        </w:rPr>
        <w:t xml:space="preserve"> </w:t>
      </w:r>
      <w:r w:rsidR="004A6BDC" w:rsidRPr="004A6BDC">
        <w:rPr>
          <w:rFonts w:ascii="Arial" w:hAnsi="Arial" w:cs="Arial"/>
        </w:rPr>
        <w:t xml:space="preserve">fulfilling the main objective, it brought side benefits and </w:t>
      </w:r>
      <w:proofErr w:type="gramStart"/>
      <w:r w:rsidR="00177BF7">
        <w:rPr>
          <w:rFonts w:ascii="Arial" w:hAnsi="Arial" w:cs="Arial"/>
        </w:rPr>
        <w:t>was considered</w:t>
      </w:r>
      <w:r w:rsidR="004A6BDC" w:rsidRPr="004A6BDC">
        <w:rPr>
          <w:rFonts w:ascii="Arial" w:hAnsi="Arial" w:cs="Arial"/>
        </w:rPr>
        <w:t xml:space="preserve"> to be</w:t>
      </w:r>
      <w:proofErr w:type="gramEnd"/>
      <w:r w:rsidR="004A6BDC" w:rsidRPr="004A6BDC">
        <w:rPr>
          <w:rFonts w:ascii="Arial" w:hAnsi="Arial" w:cs="Arial"/>
        </w:rPr>
        <w:t xml:space="preserve"> less complex to implement than the other multiple access techniques</w:t>
      </w:r>
      <w:r>
        <w:rPr>
          <w:rFonts w:ascii="Arial" w:hAnsi="Arial" w:cs="Arial"/>
        </w:rPr>
        <w:t xml:space="preserve">. Hence, </w:t>
      </w:r>
      <w:bookmarkStart w:id="9" w:name="_Hlk518909649"/>
      <w:r>
        <w:rPr>
          <w:rFonts w:ascii="Arial" w:hAnsi="Arial" w:cs="Arial"/>
        </w:rPr>
        <w:t xml:space="preserve">in Rel-16 it seems to be natural to continue improving sub-PRB </w:t>
      </w:r>
      <w:bookmarkEnd w:id="9"/>
      <w:r>
        <w:rPr>
          <w:rFonts w:ascii="Arial" w:hAnsi="Arial" w:cs="Arial"/>
        </w:rPr>
        <w:t xml:space="preserve">(e.g., an even further </w:t>
      </w:r>
      <w:r w:rsidR="003C6940">
        <w:rPr>
          <w:rFonts w:ascii="Arial" w:hAnsi="Arial" w:cs="Arial"/>
        </w:rPr>
        <w:t>spectral efficiency improvement</w:t>
      </w:r>
      <w:r>
        <w:rPr>
          <w:rFonts w:ascii="Arial" w:hAnsi="Arial" w:cs="Arial"/>
        </w:rPr>
        <w:t xml:space="preserve">), unless other multiple access technique can be proven to offer any </w:t>
      </w:r>
      <w:r w:rsidR="004A6BDC">
        <w:rPr>
          <w:rFonts w:ascii="Arial" w:hAnsi="Arial" w:cs="Arial"/>
        </w:rPr>
        <w:t xml:space="preserve">other </w:t>
      </w:r>
      <w:r>
        <w:rPr>
          <w:rFonts w:ascii="Arial" w:hAnsi="Arial" w:cs="Arial"/>
        </w:rPr>
        <w:t>significant advantage over sub-PRB.</w:t>
      </w:r>
    </w:p>
    <w:p w14:paraId="64EA4281" w14:textId="6B6FAEE2" w:rsidR="00F63B14" w:rsidRPr="000646F6" w:rsidRDefault="00F63B14" w:rsidP="00F63B14">
      <w:pPr>
        <w:tabs>
          <w:tab w:val="left" w:pos="720"/>
        </w:tabs>
        <w:jc w:val="both"/>
        <w:rPr>
          <w:rFonts w:ascii="Arial" w:hAnsi="Arial" w:cs="Arial"/>
          <w:b/>
          <w:lang w:val="en-US"/>
        </w:rPr>
      </w:pPr>
      <w:bookmarkStart w:id="10" w:name="Observation_3"/>
      <w:r w:rsidRPr="000646F6">
        <w:rPr>
          <w:rFonts w:ascii="Arial" w:hAnsi="Arial" w:cs="Arial"/>
          <w:b/>
          <w:lang w:val="en-US"/>
        </w:rPr>
        <w:t xml:space="preserve">Observation 3: In terms </w:t>
      </w:r>
      <w:r w:rsidR="00DB3BA2" w:rsidRPr="000646F6">
        <w:rPr>
          <w:rFonts w:ascii="Arial" w:hAnsi="Arial" w:cs="Arial"/>
          <w:b/>
          <w:lang w:val="en-US"/>
        </w:rPr>
        <w:t xml:space="preserve">of </w:t>
      </w:r>
      <w:r w:rsidRPr="000646F6">
        <w:rPr>
          <w:rFonts w:ascii="Arial" w:hAnsi="Arial" w:cs="Arial"/>
          <w:b/>
          <w:lang w:val="en-US"/>
        </w:rPr>
        <w:t xml:space="preserve">“orthogonal (multi) access schemes”, in Rel-15 several techniques were discussed from which the sub-PRB was adopted. Hence, unless other multiple access technique can be proven to offer any significant advantage over sub-PRB, in Rel-16 it </w:t>
      </w:r>
      <w:r w:rsidR="00230D93" w:rsidRPr="000646F6">
        <w:rPr>
          <w:rFonts w:ascii="Arial" w:hAnsi="Arial" w:cs="Arial"/>
          <w:b/>
          <w:lang w:val="en-US"/>
        </w:rPr>
        <w:t xml:space="preserve">might </w:t>
      </w:r>
      <w:proofErr w:type="gramStart"/>
      <w:r w:rsidR="00230D93" w:rsidRPr="000646F6">
        <w:rPr>
          <w:rFonts w:ascii="Arial" w:hAnsi="Arial" w:cs="Arial"/>
          <w:b/>
          <w:lang w:val="en-US"/>
        </w:rPr>
        <w:t>be seen as</w:t>
      </w:r>
      <w:proofErr w:type="gramEnd"/>
      <w:r w:rsidRPr="000646F6">
        <w:rPr>
          <w:rFonts w:ascii="Arial" w:hAnsi="Arial" w:cs="Arial"/>
          <w:b/>
          <w:lang w:val="en-US"/>
        </w:rPr>
        <w:t xml:space="preserve"> natural continue improving sub-PRB (e.g., </w:t>
      </w:r>
      <w:r w:rsidR="00DB3BA2" w:rsidRPr="000646F6">
        <w:rPr>
          <w:rFonts w:ascii="Arial" w:hAnsi="Arial" w:cs="Arial"/>
          <w:b/>
          <w:lang w:val="en-US"/>
        </w:rPr>
        <w:t xml:space="preserve">by considering </w:t>
      </w:r>
      <w:r w:rsidRPr="000646F6">
        <w:rPr>
          <w:rFonts w:ascii="Arial" w:hAnsi="Arial" w:cs="Arial"/>
          <w:b/>
          <w:lang w:val="en-US"/>
        </w:rPr>
        <w:t xml:space="preserve">an even further </w:t>
      </w:r>
      <w:r w:rsidR="003C6940" w:rsidRPr="000646F6">
        <w:rPr>
          <w:rFonts w:ascii="Arial" w:hAnsi="Arial" w:cs="Arial"/>
          <w:b/>
          <w:lang w:val="en-US"/>
        </w:rPr>
        <w:t>spectral efficiency improvement</w:t>
      </w:r>
      <w:r w:rsidRPr="000646F6">
        <w:rPr>
          <w:rFonts w:ascii="Arial" w:hAnsi="Arial" w:cs="Arial"/>
          <w:b/>
          <w:lang w:val="en-US"/>
        </w:rPr>
        <w:t>).</w:t>
      </w:r>
      <w:bookmarkEnd w:id="10"/>
    </w:p>
    <w:p w14:paraId="302D4FD0" w14:textId="28D6F3A0" w:rsidR="00CD14D0" w:rsidRPr="000646F6" w:rsidRDefault="003A2629" w:rsidP="00F63B14">
      <w:pPr>
        <w:tabs>
          <w:tab w:val="left" w:pos="720"/>
        </w:tabs>
        <w:jc w:val="both"/>
        <w:rPr>
          <w:rFonts w:ascii="Arial" w:hAnsi="Arial" w:cs="Arial"/>
          <w:b/>
          <w:lang w:val="en-US"/>
        </w:rPr>
      </w:pPr>
      <w:bookmarkStart w:id="11" w:name="P2"/>
      <w:r w:rsidRPr="000646F6">
        <w:rPr>
          <w:rFonts w:ascii="Arial" w:hAnsi="Arial" w:cs="Arial"/>
          <w:b/>
          <w:lang w:val="en-US"/>
        </w:rPr>
        <w:t xml:space="preserve">Proposal 2: </w:t>
      </w:r>
      <w:r w:rsidR="00B95E0D" w:rsidRPr="000646F6">
        <w:rPr>
          <w:rFonts w:ascii="Arial" w:hAnsi="Arial" w:cs="Arial"/>
          <w:b/>
          <w:lang w:val="en-US"/>
        </w:rPr>
        <w:t>P</w:t>
      </w:r>
      <w:r w:rsidRPr="000646F6">
        <w:rPr>
          <w:rFonts w:ascii="Arial" w:hAnsi="Arial" w:cs="Arial"/>
          <w:b/>
          <w:lang w:val="en-US"/>
        </w:rPr>
        <w:t xml:space="preserve">otential improvements </w:t>
      </w:r>
      <w:r w:rsidR="00B95E0D" w:rsidRPr="000646F6">
        <w:rPr>
          <w:rFonts w:ascii="Arial" w:hAnsi="Arial" w:cs="Arial"/>
          <w:b/>
          <w:lang w:val="en-US"/>
        </w:rPr>
        <w:t>related to “orthogonal (multi) access schemes” should consider enhancing</w:t>
      </w:r>
      <w:r w:rsidRPr="000646F6">
        <w:rPr>
          <w:rFonts w:ascii="Arial" w:hAnsi="Arial" w:cs="Arial"/>
          <w:b/>
          <w:lang w:val="en-US"/>
        </w:rPr>
        <w:t xml:space="preserve"> sub-PRB transmission over PUSCH</w:t>
      </w:r>
      <w:r w:rsidR="00B95E0D" w:rsidRPr="000646F6">
        <w:rPr>
          <w:rFonts w:ascii="Arial" w:hAnsi="Arial" w:cs="Arial"/>
          <w:b/>
          <w:lang w:val="en-US"/>
        </w:rPr>
        <w:t xml:space="preserve"> (e.g., by considering an even further spectral efficiency improvement).</w:t>
      </w:r>
      <w:bookmarkEnd w:id="11"/>
    </w:p>
    <w:p w14:paraId="0A063A8A" w14:textId="77777777" w:rsidR="00F63B14" w:rsidRDefault="00F63B14" w:rsidP="00F63B14">
      <w:pPr>
        <w:pStyle w:val="Heading2"/>
      </w:pPr>
      <w:r>
        <w:t>2.3</w:t>
      </w:r>
      <w:r>
        <w:tab/>
        <w:t>Other potential areas of improvement</w:t>
      </w:r>
    </w:p>
    <w:p w14:paraId="2C007449" w14:textId="77777777" w:rsidR="00F63B14" w:rsidRDefault="00F63B14" w:rsidP="00F63B14">
      <w:pPr>
        <w:pStyle w:val="Heading3"/>
      </w:pPr>
      <w:r>
        <w:t>2.3.1</w:t>
      </w:r>
      <w:r>
        <w:tab/>
        <w:t>Early Data Transmission</w:t>
      </w:r>
    </w:p>
    <w:p w14:paraId="2879D82E" w14:textId="32EF84A5" w:rsidR="00F63B14" w:rsidRDefault="00F63B14" w:rsidP="00F63B14">
      <w:pPr>
        <w:jc w:val="both"/>
        <w:rPr>
          <w:rFonts w:ascii="Arial" w:hAnsi="Arial" w:cs="Arial"/>
        </w:rPr>
      </w:pPr>
      <w:r>
        <w:rPr>
          <w:rFonts w:ascii="Arial" w:hAnsi="Arial" w:cs="Arial"/>
        </w:rPr>
        <w:t>In Rel-15, Early Data Transmission (EDT) was introduced for improving the battery life and obtaining latency reductions. EDT has opened the possibility of transmitting data (which maximum TBS is broadcasted by the network) during the RA procedure, which is intended to be used by UEs having the need of sending infrequent small data packets in the uplink. In a broad sense, the steps follo</w:t>
      </w:r>
      <w:r w:rsidR="003C6940">
        <w:rPr>
          <w:rFonts w:ascii="Arial" w:hAnsi="Arial" w:cs="Arial"/>
        </w:rPr>
        <w:t>wed by EDT are summarized below</w:t>
      </w:r>
      <w:r>
        <w:rPr>
          <w:rFonts w:ascii="Arial" w:hAnsi="Arial" w:cs="Arial"/>
        </w:rPr>
        <w:t>:</w:t>
      </w:r>
    </w:p>
    <w:p w14:paraId="6567375F" w14:textId="77777777" w:rsidR="00F63B14" w:rsidRDefault="00F63B14" w:rsidP="00F63B14">
      <w:pPr>
        <w:pStyle w:val="Pa10"/>
        <w:numPr>
          <w:ilvl w:val="0"/>
          <w:numId w:val="34"/>
        </w:numPr>
        <w:ind w:right="200"/>
        <w:jc w:val="both"/>
        <w:rPr>
          <w:rFonts w:ascii="Arial" w:hAnsi="Arial" w:cs="Arial"/>
          <w:color w:val="000000"/>
          <w:sz w:val="20"/>
          <w:szCs w:val="20"/>
        </w:rPr>
      </w:pPr>
      <w:r>
        <w:rPr>
          <w:rFonts w:ascii="Arial" w:hAnsi="Arial" w:cs="Arial"/>
          <w:color w:val="000000"/>
          <w:sz w:val="20"/>
          <w:szCs w:val="20"/>
        </w:rPr>
        <w:t xml:space="preserve">UE reads the system information containing the information needed by EDT (e.g., PRACH preambles configured for EDT, and maximum TBS for EDT). </w:t>
      </w:r>
    </w:p>
    <w:p w14:paraId="43C42F79" w14:textId="5EFEF405" w:rsidR="00F63B14" w:rsidRDefault="00F63B14" w:rsidP="00F63B14">
      <w:pPr>
        <w:pStyle w:val="Pa10"/>
        <w:numPr>
          <w:ilvl w:val="0"/>
          <w:numId w:val="34"/>
        </w:numPr>
        <w:ind w:right="200"/>
        <w:jc w:val="both"/>
        <w:rPr>
          <w:rFonts w:ascii="Arial" w:hAnsi="Arial" w:cs="Arial"/>
          <w:color w:val="000000"/>
          <w:sz w:val="20"/>
          <w:szCs w:val="20"/>
        </w:rPr>
      </w:pPr>
      <w:r>
        <w:rPr>
          <w:rFonts w:ascii="Arial" w:hAnsi="Arial" w:cs="Arial"/>
          <w:color w:val="000000"/>
          <w:sz w:val="20"/>
          <w:szCs w:val="20"/>
        </w:rPr>
        <w:t>UE indicates it has small data to be trans</w:t>
      </w:r>
      <w:r>
        <w:rPr>
          <w:rFonts w:ascii="Arial" w:hAnsi="Arial" w:cs="Arial"/>
          <w:color w:val="000000"/>
          <w:sz w:val="20"/>
          <w:szCs w:val="20"/>
        </w:rPr>
        <w:softHyphen/>
        <w:t xml:space="preserve">mitted by selecting an appropriate PRACH resource configuration according to EDT, </w:t>
      </w:r>
      <w:r w:rsidR="00832F74">
        <w:rPr>
          <w:rFonts w:ascii="Arial" w:hAnsi="Arial" w:cs="Arial"/>
          <w:color w:val="000000"/>
          <w:sz w:val="20"/>
          <w:szCs w:val="20"/>
        </w:rPr>
        <w:t>i.e.,</w:t>
      </w:r>
      <w:r>
        <w:rPr>
          <w:rFonts w:ascii="Arial" w:hAnsi="Arial" w:cs="Arial"/>
          <w:color w:val="000000"/>
          <w:sz w:val="20"/>
          <w:szCs w:val="20"/>
        </w:rPr>
        <w:t xml:space="preserve"> transmitting </w:t>
      </w:r>
      <w:r w:rsidR="00832F74">
        <w:rPr>
          <w:rFonts w:ascii="Arial" w:hAnsi="Arial" w:cs="Arial"/>
          <w:color w:val="000000"/>
          <w:sz w:val="20"/>
          <w:szCs w:val="20"/>
        </w:rPr>
        <w:t xml:space="preserve">an </w:t>
      </w:r>
      <w:r>
        <w:rPr>
          <w:rFonts w:ascii="Arial" w:hAnsi="Arial" w:cs="Arial"/>
          <w:color w:val="000000"/>
          <w:sz w:val="20"/>
          <w:szCs w:val="20"/>
        </w:rPr>
        <w:t>EDT preamble</w:t>
      </w:r>
      <w:r w:rsidR="00832F74">
        <w:rPr>
          <w:rFonts w:ascii="Arial" w:hAnsi="Arial" w:cs="Arial"/>
          <w:color w:val="000000"/>
          <w:sz w:val="20"/>
          <w:szCs w:val="20"/>
        </w:rPr>
        <w:t xml:space="preserve"> in Msg1</w:t>
      </w:r>
      <w:r>
        <w:rPr>
          <w:rFonts w:ascii="Arial" w:hAnsi="Arial" w:cs="Arial"/>
          <w:color w:val="000000"/>
          <w:sz w:val="20"/>
          <w:szCs w:val="20"/>
        </w:rPr>
        <w:t xml:space="preserve">. </w:t>
      </w:r>
    </w:p>
    <w:p w14:paraId="585E0761" w14:textId="77B5EC1A" w:rsidR="00F63B14" w:rsidRDefault="00B97364" w:rsidP="00F63B14">
      <w:pPr>
        <w:pStyle w:val="Pa10"/>
        <w:numPr>
          <w:ilvl w:val="0"/>
          <w:numId w:val="34"/>
        </w:numPr>
        <w:ind w:right="200"/>
        <w:jc w:val="both"/>
        <w:rPr>
          <w:rFonts w:ascii="Arial" w:hAnsi="Arial" w:cs="Arial"/>
          <w:color w:val="000000"/>
          <w:sz w:val="20"/>
          <w:szCs w:val="20"/>
        </w:rPr>
      </w:pPr>
      <w:r>
        <w:rPr>
          <w:rFonts w:ascii="Arial" w:hAnsi="Arial" w:cs="Arial"/>
          <w:color w:val="000000"/>
          <w:sz w:val="20"/>
          <w:szCs w:val="20"/>
        </w:rPr>
        <w:t>The eNB receives EDT preamble</w:t>
      </w:r>
      <w:r w:rsidR="00B95E0D">
        <w:rPr>
          <w:rFonts w:ascii="Arial" w:hAnsi="Arial" w:cs="Arial"/>
          <w:color w:val="000000"/>
          <w:sz w:val="20"/>
          <w:szCs w:val="20"/>
        </w:rPr>
        <w:t xml:space="preserve"> </w:t>
      </w:r>
      <w:r w:rsidR="00F63B14">
        <w:rPr>
          <w:rFonts w:ascii="Arial" w:hAnsi="Arial" w:cs="Arial"/>
          <w:color w:val="000000"/>
          <w:sz w:val="20"/>
          <w:szCs w:val="20"/>
        </w:rPr>
        <w:t xml:space="preserve">and responds with a </w:t>
      </w:r>
      <w:proofErr w:type="gramStart"/>
      <w:r w:rsidR="00F63B14">
        <w:rPr>
          <w:rFonts w:ascii="Arial" w:hAnsi="Arial" w:cs="Arial"/>
          <w:color w:val="000000"/>
          <w:sz w:val="20"/>
          <w:szCs w:val="20"/>
        </w:rPr>
        <w:t>Random Access</w:t>
      </w:r>
      <w:proofErr w:type="gramEnd"/>
      <w:r w:rsidR="00F63B14">
        <w:rPr>
          <w:rFonts w:ascii="Arial" w:hAnsi="Arial" w:cs="Arial"/>
          <w:color w:val="000000"/>
          <w:sz w:val="20"/>
          <w:szCs w:val="20"/>
        </w:rPr>
        <w:t xml:space="preserve"> Response message </w:t>
      </w:r>
      <w:r w:rsidR="00832F74">
        <w:rPr>
          <w:rFonts w:ascii="Arial" w:hAnsi="Arial" w:cs="Arial"/>
          <w:color w:val="000000"/>
          <w:sz w:val="20"/>
          <w:szCs w:val="20"/>
        </w:rPr>
        <w:t xml:space="preserve">in Msg2 </w:t>
      </w:r>
      <w:r w:rsidR="00F63B14">
        <w:rPr>
          <w:rFonts w:ascii="Arial" w:hAnsi="Arial" w:cs="Arial"/>
          <w:color w:val="000000"/>
          <w:sz w:val="20"/>
          <w:szCs w:val="20"/>
        </w:rPr>
        <w:t xml:space="preserve">including an </w:t>
      </w:r>
      <w:r w:rsidR="00832F74">
        <w:rPr>
          <w:rFonts w:ascii="Arial" w:hAnsi="Arial" w:cs="Arial"/>
          <w:color w:val="000000"/>
          <w:sz w:val="20"/>
          <w:szCs w:val="20"/>
        </w:rPr>
        <w:t xml:space="preserve">EDT </w:t>
      </w:r>
      <w:r w:rsidR="00F63B14">
        <w:rPr>
          <w:rFonts w:ascii="Arial" w:hAnsi="Arial" w:cs="Arial"/>
          <w:color w:val="000000"/>
          <w:sz w:val="20"/>
          <w:szCs w:val="20"/>
        </w:rPr>
        <w:t xml:space="preserve">uplink Msg3 grant. </w:t>
      </w:r>
    </w:p>
    <w:p w14:paraId="2A4DE696" w14:textId="72E97FB6" w:rsidR="00F63B14" w:rsidRDefault="00F63B14" w:rsidP="00F63B14">
      <w:pPr>
        <w:pStyle w:val="Pa10"/>
        <w:numPr>
          <w:ilvl w:val="0"/>
          <w:numId w:val="34"/>
        </w:numPr>
        <w:ind w:right="200"/>
        <w:jc w:val="both"/>
        <w:rPr>
          <w:rFonts w:ascii="Arial" w:hAnsi="Arial" w:cs="Arial"/>
          <w:color w:val="000000"/>
          <w:sz w:val="20"/>
          <w:szCs w:val="20"/>
        </w:rPr>
      </w:pPr>
      <w:r>
        <w:rPr>
          <w:rFonts w:ascii="Arial" w:hAnsi="Arial" w:cs="Arial"/>
          <w:color w:val="000000"/>
          <w:sz w:val="20"/>
          <w:szCs w:val="20"/>
        </w:rPr>
        <w:t>The UE transmits user data in Msg3, as well as necessary information (</w:t>
      </w:r>
      <w:r w:rsidR="00B97364">
        <w:rPr>
          <w:rFonts w:ascii="Arial" w:hAnsi="Arial" w:cs="Arial"/>
          <w:color w:val="000000"/>
          <w:sz w:val="20"/>
          <w:szCs w:val="20"/>
        </w:rPr>
        <w:t xml:space="preserve">e.g., </w:t>
      </w:r>
      <w:r>
        <w:rPr>
          <w:rFonts w:ascii="Arial" w:hAnsi="Arial" w:cs="Arial"/>
          <w:color w:val="000000"/>
          <w:sz w:val="20"/>
          <w:szCs w:val="20"/>
        </w:rPr>
        <w:t xml:space="preserve">UE identity, resume identity, RRC message). </w:t>
      </w:r>
    </w:p>
    <w:p w14:paraId="0993D3E0" w14:textId="77777777" w:rsidR="00F63B14" w:rsidRDefault="00F63B14" w:rsidP="00F63B14">
      <w:pPr>
        <w:pStyle w:val="Pa10"/>
        <w:numPr>
          <w:ilvl w:val="0"/>
          <w:numId w:val="34"/>
        </w:numPr>
        <w:ind w:right="200"/>
        <w:jc w:val="both"/>
        <w:rPr>
          <w:rFonts w:ascii="Arial" w:hAnsi="Arial" w:cs="Arial"/>
          <w:color w:val="000000"/>
          <w:sz w:val="20"/>
          <w:szCs w:val="20"/>
        </w:rPr>
      </w:pPr>
      <w:r>
        <w:rPr>
          <w:rFonts w:ascii="Arial" w:hAnsi="Arial" w:cs="Arial"/>
          <w:color w:val="000000"/>
          <w:sz w:val="20"/>
          <w:szCs w:val="20"/>
        </w:rPr>
        <w:t xml:space="preserve">eNB receives Msg3 and either moves the UE to RRC_IDLE or, in the case of further data, to RRC_CONNECTED by Msg4. </w:t>
      </w:r>
    </w:p>
    <w:p w14:paraId="0733E184" w14:textId="77777777" w:rsidR="00F63B14" w:rsidRDefault="00F63B14" w:rsidP="00F63B14">
      <w:pPr>
        <w:pStyle w:val="ListParagraph"/>
        <w:numPr>
          <w:ilvl w:val="0"/>
          <w:numId w:val="34"/>
        </w:numPr>
        <w:jc w:val="both"/>
        <w:textAlignment w:val="auto"/>
        <w:rPr>
          <w:rFonts w:ascii="Arial" w:hAnsi="Arial" w:cs="Arial"/>
          <w:sz w:val="20"/>
          <w:szCs w:val="20"/>
        </w:rPr>
      </w:pPr>
      <w:r>
        <w:rPr>
          <w:rFonts w:ascii="Arial" w:hAnsi="Arial" w:cs="Arial"/>
          <w:color w:val="000000"/>
          <w:sz w:val="20"/>
          <w:szCs w:val="20"/>
        </w:rPr>
        <w:lastRenderedPageBreak/>
        <w:t xml:space="preserve">If UE </w:t>
      </w:r>
      <w:proofErr w:type="spellStart"/>
      <w:r>
        <w:rPr>
          <w:rFonts w:ascii="Arial" w:hAnsi="Arial" w:cs="Arial"/>
          <w:color w:val="000000"/>
          <w:sz w:val="20"/>
          <w:szCs w:val="20"/>
        </w:rPr>
        <w:t>receives</w:t>
      </w:r>
      <w:proofErr w:type="spellEnd"/>
      <w:r>
        <w:rPr>
          <w:rFonts w:ascii="Arial" w:hAnsi="Arial" w:cs="Arial"/>
          <w:color w:val="000000"/>
          <w:sz w:val="20"/>
          <w:szCs w:val="20"/>
        </w:rPr>
        <w:t xml:space="preserve"> Msg4 </w:t>
      </w:r>
      <w:proofErr w:type="spellStart"/>
      <w:r>
        <w:rPr>
          <w:rFonts w:ascii="Arial" w:hAnsi="Arial" w:cs="Arial"/>
          <w:color w:val="000000"/>
          <w:sz w:val="20"/>
          <w:szCs w:val="20"/>
        </w:rPr>
        <w:t>indicating</w:t>
      </w:r>
      <w:proofErr w:type="spellEnd"/>
      <w:r>
        <w:rPr>
          <w:rFonts w:ascii="Arial" w:hAnsi="Arial" w:cs="Arial"/>
          <w:color w:val="000000"/>
          <w:sz w:val="20"/>
          <w:szCs w:val="20"/>
        </w:rPr>
        <w:t xml:space="preserve"> it </w:t>
      </w:r>
      <w:proofErr w:type="spellStart"/>
      <w:r>
        <w:rPr>
          <w:rFonts w:ascii="Arial" w:hAnsi="Arial" w:cs="Arial"/>
          <w:color w:val="000000"/>
          <w:sz w:val="20"/>
          <w:szCs w:val="20"/>
        </w:rPr>
        <w:t>can</w:t>
      </w:r>
      <w:proofErr w:type="spellEnd"/>
      <w:r>
        <w:rPr>
          <w:rFonts w:ascii="Arial" w:hAnsi="Arial" w:cs="Arial"/>
          <w:color w:val="000000"/>
          <w:sz w:val="20"/>
          <w:szCs w:val="20"/>
        </w:rPr>
        <w:t xml:space="preserve"> </w:t>
      </w:r>
      <w:proofErr w:type="spellStart"/>
      <w:r>
        <w:rPr>
          <w:rFonts w:ascii="Arial" w:hAnsi="Arial" w:cs="Arial"/>
          <w:color w:val="000000"/>
          <w:sz w:val="20"/>
          <w:szCs w:val="20"/>
        </w:rPr>
        <w:t>move</w:t>
      </w:r>
      <w:proofErr w:type="spellEnd"/>
      <w:r>
        <w:rPr>
          <w:rFonts w:ascii="Arial" w:hAnsi="Arial" w:cs="Arial"/>
          <w:color w:val="000000"/>
          <w:sz w:val="20"/>
          <w:szCs w:val="20"/>
        </w:rPr>
        <w:t xml:space="preserve"> to RRC_IDLE, the </w:t>
      </w:r>
      <w:proofErr w:type="spellStart"/>
      <w:r>
        <w:rPr>
          <w:rFonts w:ascii="Arial" w:hAnsi="Arial" w:cs="Arial"/>
          <w:color w:val="000000"/>
          <w:sz w:val="20"/>
          <w:szCs w:val="20"/>
        </w:rPr>
        <w:t>procedure</w:t>
      </w:r>
      <w:proofErr w:type="spellEnd"/>
      <w:r>
        <w:rPr>
          <w:rFonts w:ascii="Arial" w:hAnsi="Arial" w:cs="Arial"/>
          <w:color w:val="000000"/>
          <w:sz w:val="20"/>
          <w:szCs w:val="20"/>
        </w:rPr>
        <w:t xml:space="preserve"> is </w:t>
      </w:r>
      <w:proofErr w:type="spellStart"/>
      <w:r>
        <w:rPr>
          <w:rFonts w:ascii="Arial" w:hAnsi="Arial" w:cs="Arial"/>
          <w:color w:val="000000"/>
          <w:sz w:val="20"/>
          <w:szCs w:val="20"/>
        </w:rPr>
        <w:t>completed</w:t>
      </w:r>
      <w:proofErr w:type="spellEnd"/>
      <w:r>
        <w:rPr>
          <w:rFonts w:ascii="Arial" w:hAnsi="Arial" w:cs="Arial"/>
          <w:color w:val="000000"/>
          <w:sz w:val="20"/>
          <w:szCs w:val="20"/>
        </w:rPr>
        <w:t xml:space="preserve">, and the UE </w:t>
      </w:r>
      <w:proofErr w:type="spellStart"/>
      <w:r>
        <w:rPr>
          <w:rFonts w:ascii="Arial" w:hAnsi="Arial" w:cs="Arial"/>
          <w:color w:val="000000"/>
          <w:sz w:val="20"/>
          <w:szCs w:val="20"/>
        </w:rPr>
        <w:t>continues</w:t>
      </w:r>
      <w:proofErr w:type="spellEnd"/>
      <w:r>
        <w:rPr>
          <w:rFonts w:ascii="Arial" w:hAnsi="Arial" w:cs="Arial"/>
          <w:color w:val="000000"/>
          <w:sz w:val="20"/>
          <w:szCs w:val="20"/>
        </w:rPr>
        <w:t xml:space="preserve"> </w:t>
      </w:r>
      <w:proofErr w:type="spellStart"/>
      <w:r>
        <w:rPr>
          <w:rFonts w:ascii="Arial" w:hAnsi="Arial" w:cs="Arial"/>
          <w:color w:val="000000"/>
          <w:sz w:val="20"/>
          <w:szCs w:val="20"/>
        </w:rPr>
        <w:t>its</w:t>
      </w:r>
      <w:proofErr w:type="spellEnd"/>
      <w:r>
        <w:rPr>
          <w:rFonts w:ascii="Arial" w:hAnsi="Arial" w:cs="Arial"/>
          <w:color w:val="000000"/>
          <w:sz w:val="20"/>
          <w:szCs w:val="20"/>
        </w:rPr>
        <w:t xml:space="preserve"> </w:t>
      </w:r>
      <w:proofErr w:type="spellStart"/>
      <w:r>
        <w:rPr>
          <w:rFonts w:ascii="Arial" w:hAnsi="Arial" w:cs="Arial"/>
          <w:color w:val="000000"/>
          <w:sz w:val="20"/>
          <w:szCs w:val="20"/>
        </w:rPr>
        <w:t>idle</w:t>
      </w:r>
      <w:proofErr w:type="spellEnd"/>
      <w:r>
        <w:rPr>
          <w:rFonts w:ascii="Arial" w:hAnsi="Arial" w:cs="Arial"/>
          <w:color w:val="000000"/>
          <w:sz w:val="20"/>
          <w:szCs w:val="20"/>
        </w:rPr>
        <w:t xml:space="preserve"> mode </w:t>
      </w:r>
      <w:proofErr w:type="spellStart"/>
      <w:r>
        <w:rPr>
          <w:rFonts w:ascii="Arial" w:hAnsi="Arial" w:cs="Arial"/>
          <w:color w:val="000000"/>
          <w:sz w:val="20"/>
          <w:szCs w:val="20"/>
        </w:rPr>
        <w:t>procedures</w:t>
      </w:r>
      <w:proofErr w:type="spellEnd"/>
      <w:r>
        <w:rPr>
          <w:rFonts w:ascii="Arial" w:hAnsi="Arial" w:cs="Arial"/>
          <w:color w:val="000000"/>
          <w:sz w:val="20"/>
          <w:szCs w:val="20"/>
        </w:rPr>
        <w:t xml:space="preserve">. </w:t>
      </w:r>
      <w:proofErr w:type="spellStart"/>
      <w:r>
        <w:rPr>
          <w:rFonts w:ascii="Arial" w:hAnsi="Arial" w:cs="Arial"/>
          <w:color w:val="000000"/>
          <w:sz w:val="20"/>
          <w:szCs w:val="20"/>
        </w:rPr>
        <w:t>Otherwise</w:t>
      </w:r>
      <w:proofErr w:type="spellEnd"/>
      <w:r>
        <w:rPr>
          <w:rFonts w:ascii="Arial" w:hAnsi="Arial" w:cs="Arial"/>
          <w:color w:val="000000"/>
          <w:sz w:val="20"/>
          <w:szCs w:val="20"/>
        </w:rPr>
        <w:t xml:space="preserve">, the UE </w:t>
      </w:r>
      <w:proofErr w:type="spellStart"/>
      <w:r>
        <w:rPr>
          <w:rFonts w:ascii="Arial" w:hAnsi="Arial" w:cs="Arial"/>
          <w:color w:val="000000"/>
          <w:sz w:val="20"/>
          <w:szCs w:val="20"/>
        </w:rPr>
        <w:t>moves</w:t>
      </w:r>
      <w:proofErr w:type="spellEnd"/>
      <w:r>
        <w:rPr>
          <w:rFonts w:ascii="Arial" w:hAnsi="Arial" w:cs="Arial"/>
          <w:color w:val="000000"/>
          <w:sz w:val="20"/>
          <w:szCs w:val="20"/>
        </w:rPr>
        <w:t xml:space="preserve"> to RRC_CON</w:t>
      </w:r>
      <w:r>
        <w:rPr>
          <w:rFonts w:ascii="Arial" w:hAnsi="Arial" w:cs="Arial"/>
          <w:color w:val="000000"/>
          <w:sz w:val="20"/>
          <w:szCs w:val="20"/>
        </w:rPr>
        <w:softHyphen/>
        <w:t xml:space="preserve">NECTED and signals to eNB in Msg5 </w:t>
      </w:r>
      <w:proofErr w:type="spellStart"/>
      <w:r>
        <w:rPr>
          <w:rFonts w:ascii="Arial" w:hAnsi="Arial" w:cs="Arial"/>
          <w:color w:val="000000"/>
          <w:sz w:val="20"/>
          <w:szCs w:val="20"/>
        </w:rPr>
        <w:t>that</w:t>
      </w:r>
      <w:proofErr w:type="spellEnd"/>
      <w:r>
        <w:rPr>
          <w:rFonts w:ascii="Arial" w:hAnsi="Arial" w:cs="Arial"/>
          <w:color w:val="000000"/>
          <w:sz w:val="20"/>
          <w:szCs w:val="20"/>
        </w:rPr>
        <w:t xml:space="preserve"> it has </w:t>
      </w:r>
      <w:proofErr w:type="spellStart"/>
      <w:r>
        <w:rPr>
          <w:rFonts w:ascii="Arial" w:hAnsi="Arial" w:cs="Arial"/>
          <w:color w:val="000000"/>
          <w:sz w:val="20"/>
          <w:szCs w:val="20"/>
        </w:rPr>
        <w:t>completed</w:t>
      </w:r>
      <w:proofErr w:type="spellEnd"/>
      <w:r>
        <w:rPr>
          <w:rFonts w:ascii="Arial" w:hAnsi="Arial" w:cs="Arial"/>
          <w:color w:val="000000"/>
          <w:sz w:val="20"/>
          <w:szCs w:val="20"/>
        </w:rPr>
        <w:t xml:space="preserve"> the </w:t>
      </w:r>
      <w:proofErr w:type="spellStart"/>
      <w:r>
        <w:rPr>
          <w:rFonts w:ascii="Arial" w:hAnsi="Arial" w:cs="Arial"/>
          <w:color w:val="000000"/>
          <w:sz w:val="20"/>
          <w:szCs w:val="20"/>
        </w:rPr>
        <w:t>state</w:t>
      </w:r>
      <w:proofErr w:type="spellEnd"/>
      <w:r>
        <w:rPr>
          <w:rFonts w:ascii="Arial" w:hAnsi="Arial" w:cs="Arial"/>
          <w:color w:val="000000"/>
          <w:sz w:val="20"/>
          <w:szCs w:val="20"/>
        </w:rPr>
        <w:t xml:space="preserve"> </w:t>
      </w:r>
      <w:proofErr w:type="spellStart"/>
      <w:r>
        <w:rPr>
          <w:rFonts w:ascii="Arial" w:hAnsi="Arial" w:cs="Arial"/>
          <w:color w:val="000000"/>
          <w:sz w:val="20"/>
          <w:szCs w:val="20"/>
        </w:rPr>
        <w:t>transition</w:t>
      </w:r>
      <w:proofErr w:type="spellEnd"/>
      <w:r>
        <w:rPr>
          <w:rFonts w:ascii="Arial" w:hAnsi="Arial" w:cs="Arial"/>
          <w:color w:val="000000"/>
          <w:sz w:val="20"/>
          <w:szCs w:val="20"/>
        </w:rPr>
        <w:t>.</w:t>
      </w:r>
    </w:p>
    <w:p w14:paraId="6C5F2DB6" w14:textId="77777777" w:rsidR="00F63B14" w:rsidRDefault="00F63B14" w:rsidP="00F63B14">
      <w:pPr>
        <w:pStyle w:val="ListParagraph"/>
        <w:jc w:val="both"/>
        <w:rPr>
          <w:rFonts w:ascii="Arial" w:hAnsi="Arial" w:cs="Arial"/>
          <w:sz w:val="20"/>
          <w:szCs w:val="20"/>
        </w:rPr>
      </w:pPr>
    </w:p>
    <w:p w14:paraId="1A699821" w14:textId="1811900B" w:rsidR="00F63B14" w:rsidRDefault="00F63B14" w:rsidP="00F63B14">
      <w:pPr>
        <w:jc w:val="both"/>
        <w:rPr>
          <w:rFonts w:ascii="Arial" w:hAnsi="Arial" w:cs="Arial"/>
        </w:rPr>
      </w:pPr>
      <w:r>
        <w:rPr>
          <w:rFonts w:ascii="Arial" w:hAnsi="Arial" w:cs="Arial"/>
        </w:rPr>
        <w:t xml:space="preserve">In Rel-16, touching upon the main bullet of this WI objective, EDT might </w:t>
      </w:r>
      <w:proofErr w:type="gramStart"/>
      <w:r>
        <w:rPr>
          <w:rFonts w:ascii="Arial" w:hAnsi="Arial" w:cs="Arial"/>
        </w:rPr>
        <w:t>be consider</w:t>
      </w:r>
      <w:r w:rsidR="00F52353">
        <w:rPr>
          <w:rFonts w:ascii="Arial" w:hAnsi="Arial" w:cs="Arial"/>
        </w:rPr>
        <w:t>ed</w:t>
      </w:r>
      <w:r>
        <w:rPr>
          <w:rFonts w:ascii="Arial" w:hAnsi="Arial" w:cs="Arial"/>
        </w:rPr>
        <w:t xml:space="preserve"> to be</w:t>
      </w:r>
      <w:proofErr w:type="gramEnd"/>
      <w:r>
        <w:rPr>
          <w:rFonts w:ascii="Arial" w:hAnsi="Arial" w:cs="Arial"/>
        </w:rPr>
        <w:t xml:space="preserve"> enhanced by for example </w:t>
      </w:r>
      <w:r w:rsidR="003E4134">
        <w:rPr>
          <w:rFonts w:ascii="Arial" w:hAnsi="Arial" w:cs="Arial"/>
        </w:rPr>
        <w:t xml:space="preserve">further </w:t>
      </w:r>
      <w:r w:rsidR="00B4280D">
        <w:rPr>
          <w:rFonts w:ascii="Arial" w:hAnsi="Arial" w:cs="Arial"/>
        </w:rPr>
        <w:t>eliminat</w:t>
      </w:r>
      <w:r w:rsidR="003E4134">
        <w:rPr>
          <w:rFonts w:ascii="Arial" w:hAnsi="Arial" w:cs="Arial"/>
        </w:rPr>
        <w:t>ing</w:t>
      </w:r>
      <w:r w:rsidR="0087302B">
        <w:rPr>
          <w:rFonts w:ascii="Arial" w:hAnsi="Arial" w:cs="Arial"/>
        </w:rPr>
        <w:t xml:space="preserve"> signalling steps such as the PRACH preamble (Msg1) and/or the RAR message (Msg2)</w:t>
      </w:r>
      <w:r>
        <w:rPr>
          <w:rFonts w:ascii="Arial" w:hAnsi="Arial" w:cs="Arial"/>
        </w:rPr>
        <w:t>.</w:t>
      </w:r>
      <w:r w:rsidR="00042FE1">
        <w:rPr>
          <w:rFonts w:ascii="Arial" w:hAnsi="Arial" w:cs="Arial"/>
        </w:rPr>
        <w:t xml:space="preserve"> The foreseen benefits are in terms </w:t>
      </w:r>
      <w:r w:rsidR="00832F74">
        <w:rPr>
          <w:rFonts w:ascii="Arial" w:hAnsi="Arial" w:cs="Arial"/>
        </w:rPr>
        <w:t xml:space="preserve">of </w:t>
      </w:r>
      <w:r w:rsidR="00042FE1">
        <w:rPr>
          <w:rFonts w:ascii="Arial" w:hAnsi="Arial" w:cs="Arial"/>
        </w:rPr>
        <w:t xml:space="preserve">signalling load reduction, power savings and latency. </w:t>
      </w:r>
    </w:p>
    <w:bookmarkStart w:id="12" w:name="Observation_4"/>
    <w:p w14:paraId="43886AC3" w14:textId="41ACA289" w:rsidR="00B95E0D" w:rsidRDefault="00F52353" w:rsidP="00B95E0D">
      <w:pPr>
        <w:pStyle w:val="BodyText"/>
        <w:rPr>
          <w:b/>
          <w:bCs/>
        </w:rPr>
      </w:pPr>
      <w:r>
        <w:rPr>
          <w:b/>
          <w:bCs/>
        </w:rPr>
        <w:fldChar w:fldCharType="begin"/>
      </w:r>
      <w:r>
        <w:rPr>
          <w:b/>
          <w:bCs/>
        </w:rPr>
        <w:instrText xml:space="preserve"> REF Observation_5 \h </w:instrText>
      </w:r>
      <w:r>
        <w:rPr>
          <w:b/>
          <w:bCs/>
        </w:rPr>
      </w:r>
      <w:r>
        <w:rPr>
          <w:b/>
          <w:bCs/>
        </w:rPr>
        <w:fldChar w:fldCharType="separate"/>
      </w:r>
      <w:r>
        <w:rPr>
          <w:b/>
          <w:lang w:val="en-US"/>
        </w:rPr>
        <w:t xml:space="preserve">Observation 4: </w:t>
      </w:r>
      <w:r w:rsidRPr="00F50513">
        <w:rPr>
          <w:b/>
          <w:lang w:val="en-US"/>
        </w:rPr>
        <w:t xml:space="preserve">In Rel-15, Early Data Transmission (EDT) was introduced for improving the battery life and obtaining latency reductions. </w:t>
      </w:r>
      <w:r>
        <w:rPr>
          <w:b/>
          <w:lang w:val="en-US"/>
        </w:rPr>
        <w:t>In Rel-16</w:t>
      </w:r>
      <w:r w:rsidRPr="00F50513">
        <w:rPr>
          <w:b/>
          <w:lang w:val="en-US"/>
        </w:rPr>
        <w:t xml:space="preserve">, EDT might </w:t>
      </w:r>
      <w:proofErr w:type="gramStart"/>
      <w:r w:rsidRPr="00F50513">
        <w:rPr>
          <w:b/>
          <w:lang w:val="en-US"/>
        </w:rPr>
        <w:t>be considered to be</w:t>
      </w:r>
      <w:proofErr w:type="gramEnd"/>
      <w:r w:rsidRPr="00F50513">
        <w:rPr>
          <w:b/>
          <w:lang w:val="en-US"/>
        </w:rPr>
        <w:t xml:space="preserve"> enhanced by for example </w:t>
      </w:r>
      <w:r w:rsidR="003E4134">
        <w:rPr>
          <w:b/>
          <w:lang w:val="en-US"/>
        </w:rPr>
        <w:t xml:space="preserve">further eliminating </w:t>
      </w:r>
      <w:proofErr w:type="spellStart"/>
      <w:r w:rsidR="003E4134">
        <w:rPr>
          <w:b/>
          <w:lang w:val="en-US"/>
        </w:rPr>
        <w:t>signalling</w:t>
      </w:r>
      <w:proofErr w:type="spellEnd"/>
      <w:r w:rsidR="003E4134">
        <w:rPr>
          <w:b/>
          <w:lang w:val="en-US"/>
        </w:rPr>
        <w:t xml:space="preserve"> steps such as Msg1 or Msg2</w:t>
      </w:r>
      <w:r>
        <w:rPr>
          <w:b/>
          <w:lang w:val="en-US"/>
        </w:rPr>
        <w:t>.</w:t>
      </w:r>
      <w:r>
        <w:rPr>
          <w:b/>
          <w:bCs/>
        </w:rPr>
        <w:fldChar w:fldCharType="end"/>
      </w:r>
      <w:bookmarkEnd w:id="12"/>
    </w:p>
    <w:p w14:paraId="41D1CAF4" w14:textId="02F7B20D" w:rsidR="00B95E0D" w:rsidRPr="00B95E0D" w:rsidRDefault="00B95E0D" w:rsidP="00B95E0D">
      <w:pPr>
        <w:pStyle w:val="BodyText"/>
        <w:rPr>
          <w:b/>
          <w:bCs/>
        </w:rPr>
      </w:pPr>
      <w:bookmarkStart w:id="13" w:name="P3"/>
      <w:r>
        <w:rPr>
          <w:b/>
          <w:bCs/>
        </w:rPr>
        <w:t xml:space="preserve">Proposal 3: Consider enhancing Early Data Transmission (EDT) by </w:t>
      </w:r>
      <w:r w:rsidR="00DC1ABD">
        <w:rPr>
          <w:b/>
          <w:bCs/>
        </w:rPr>
        <w:t>further eliminating signalling steps such as Msg1 or Msg2</w:t>
      </w:r>
      <w:r>
        <w:rPr>
          <w:b/>
          <w:bCs/>
        </w:rPr>
        <w:t>.</w:t>
      </w:r>
      <w:bookmarkEnd w:id="13"/>
      <w:r w:rsidR="00F52353">
        <w:rPr>
          <w:b/>
          <w:bCs/>
        </w:rPr>
        <w:fldChar w:fldCharType="begin"/>
      </w:r>
      <w:r w:rsidR="00F52353">
        <w:rPr>
          <w:b/>
          <w:bCs/>
        </w:rPr>
        <w:instrText xml:space="preserve"> REF Observation_5 \h </w:instrText>
      </w:r>
      <w:r w:rsidR="00F52353">
        <w:rPr>
          <w:b/>
          <w:bCs/>
        </w:rPr>
      </w:r>
      <w:r w:rsidR="00F52353">
        <w:rPr>
          <w:b/>
          <w:bCs/>
        </w:rPr>
        <w:fldChar w:fldCharType="end"/>
      </w:r>
      <w:r w:rsidR="00F52353">
        <w:rPr>
          <w:b/>
          <w:bCs/>
        </w:rPr>
        <w:fldChar w:fldCharType="begin"/>
      </w:r>
      <w:r w:rsidR="00F52353">
        <w:rPr>
          <w:b/>
          <w:bCs/>
        </w:rPr>
        <w:instrText xml:space="preserve"> REF Observation_5 \h </w:instrText>
      </w:r>
      <w:r w:rsidR="00F52353">
        <w:rPr>
          <w:b/>
          <w:bCs/>
        </w:rPr>
      </w:r>
      <w:r w:rsidR="00F52353">
        <w:rPr>
          <w:b/>
          <w:bCs/>
        </w:rPr>
        <w:fldChar w:fldCharType="end"/>
      </w:r>
      <w:r w:rsidR="00F52353">
        <w:rPr>
          <w:b/>
          <w:bCs/>
        </w:rPr>
        <w:fldChar w:fldCharType="begin"/>
      </w:r>
      <w:r w:rsidR="00F52353">
        <w:rPr>
          <w:b/>
          <w:bCs/>
        </w:rPr>
        <w:instrText xml:space="preserve"> REF Observation_5 \h </w:instrText>
      </w:r>
      <w:r w:rsidR="00F52353">
        <w:rPr>
          <w:b/>
          <w:bCs/>
        </w:rPr>
      </w:r>
      <w:r w:rsidR="00F52353">
        <w:rPr>
          <w:b/>
          <w:bCs/>
        </w:rPr>
        <w:fldChar w:fldCharType="end"/>
      </w:r>
      <w:r w:rsidR="00F52353">
        <w:rPr>
          <w:b/>
          <w:bCs/>
        </w:rPr>
        <w:fldChar w:fldCharType="begin"/>
      </w:r>
      <w:r w:rsidR="00F52353">
        <w:rPr>
          <w:b/>
          <w:bCs/>
        </w:rPr>
        <w:instrText xml:space="preserve"> REF Observation_5 \h </w:instrText>
      </w:r>
      <w:r w:rsidR="00F52353">
        <w:rPr>
          <w:b/>
          <w:bCs/>
        </w:rPr>
      </w:r>
      <w:r w:rsidR="00F52353">
        <w:rPr>
          <w:b/>
          <w:bCs/>
        </w:rPr>
        <w:fldChar w:fldCharType="end"/>
      </w:r>
      <w:r w:rsidR="00F52353">
        <w:rPr>
          <w:b/>
          <w:bCs/>
        </w:rPr>
        <w:fldChar w:fldCharType="begin"/>
      </w:r>
      <w:r w:rsidR="00F52353">
        <w:rPr>
          <w:b/>
          <w:bCs/>
        </w:rPr>
        <w:instrText xml:space="preserve"> REF Observation_5 \h </w:instrText>
      </w:r>
      <w:r w:rsidR="00F52353">
        <w:rPr>
          <w:b/>
          <w:bCs/>
        </w:rPr>
      </w:r>
      <w:r w:rsidR="00F52353">
        <w:rPr>
          <w:b/>
          <w:bCs/>
        </w:rPr>
        <w:fldChar w:fldCharType="end"/>
      </w:r>
      <w:r w:rsidR="00F52353">
        <w:rPr>
          <w:b/>
          <w:bCs/>
        </w:rPr>
        <w:fldChar w:fldCharType="begin"/>
      </w:r>
      <w:r w:rsidR="00F52353">
        <w:rPr>
          <w:b/>
          <w:bCs/>
        </w:rPr>
        <w:instrText xml:space="preserve"> REF Observation_5 \h </w:instrText>
      </w:r>
      <w:r w:rsidR="00F52353">
        <w:rPr>
          <w:b/>
          <w:bCs/>
        </w:rPr>
      </w:r>
      <w:r w:rsidR="00F52353">
        <w:rPr>
          <w:b/>
          <w:bCs/>
        </w:rPr>
        <w:fldChar w:fldCharType="end"/>
      </w:r>
    </w:p>
    <w:p w14:paraId="5FFDEAF3" w14:textId="59EA7D03" w:rsidR="00F63B14" w:rsidRDefault="00F63B14" w:rsidP="00F63B14">
      <w:pPr>
        <w:pStyle w:val="Heading3"/>
      </w:pPr>
      <w:r>
        <w:t>2.3.1</w:t>
      </w:r>
      <w:r>
        <w:tab/>
      </w:r>
      <w:r w:rsidR="00F153C5">
        <w:t>Semi</w:t>
      </w:r>
      <w:r w:rsidR="004D0019">
        <w:t>-P</w:t>
      </w:r>
      <w:r w:rsidR="00F153C5">
        <w:t>ersistent Scheduling (</w:t>
      </w:r>
      <w:r>
        <w:t>SPS</w:t>
      </w:r>
      <w:r w:rsidR="00F153C5">
        <w:t>)</w:t>
      </w:r>
    </w:p>
    <w:p w14:paraId="43FCEE66" w14:textId="2A2801B5" w:rsidR="006B0AE9" w:rsidRPr="00F52353" w:rsidRDefault="006B0AE9" w:rsidP="00F52353">
      <w:pPr>
        <w:jc w:val="both"/>
        <w:rPr>
          <w:rFonts w:cs="Arial"/>
        </w:rPr>
      </w:pPr>
      <w:r w:rsidRPr="00F52353">
        <w:rPr>
          <w:rFonts w:ascii="Arial" w:hAnsi="Arial" w:cs="Arial"/>
        </w:rPr>
        <w:t xml:space="preserve">In Rel-8, motivated by the periodic speech frames of VoIP, the possibility of configuring a semi-persistent scheduling (SPS) was introduced aiming at reducing the physical channel control overhead that would be otherwise obtained by using dynamic scheduling. For LTE-M devices, periodic sensor reporting </w:t>
      </w:r>
      <w:proofErr w:type="gramStart"/>
      <w:r w:rsidRPr="00F52353">
        <w:rPr>
          <w:rFonts w:ascii="Arial" w:hAnsi="Arial" w:cs="Arial"/>
        </w:rPr>
        <w:t>can be seen as</w:t>
      </w:r>
      <w:proofErr w:type="gramEnd"/>
      <w:r w:rsidRPr="00F52353">
        <w:rPr>
          <w:rFonts w:ascii="Arial" w:hAnsi="Arial" w:cs="Arial"/>
        </w:rPr>
        <w:t xml:space="preserve"> a potential use case for SPS</w:t>
      </w:r>
      <w:r w:rsidR="00187B82">
        <w:rPr>
          <w:rFonts w:ascii="Arial" w:hAnsi="Arial" w:cs="Arial"/>
        </w:rPr>
        <w:t>;</w:t>
      </w:r>
      <w:r w:rsidRPr="00F52353">
        <w:rPr>
          <w:rFonts w:ascii="Arial" w:hAnsi="Arial" w:cs="Arial"/>
        </w:rPr>
        <w:t xml:space="preserve"> however</w:t>
      </w:r>
      <w:r w:rsidR="00F17799">
        <w:rPr>
          <w:rFonts w:ascii="Arial" w:hAnsi="Arial" w:cs="Arial"/>
        </w:rPr>
        <w:t>,</w:t>
      </w:r>
      <w:r w:rsidRPr="00F52353">
        <w:rPr>
          <w:rFonts w:ascii="Arial" w:hAnsi="Arial" w:cs="Arial"/>
        </w:rPr>
        <w:t xml:space="preserve"> LTE-M supports semipersistent scheduling (SPS) only in CE Mode A. Hence, extending the usage of SPS in CE Mode B </w:t>
      </w:r>
      <w:proofErr w:type="gramStart"/>
      <w:r w:rsidRPr="00F52353">
        <w:rPr>
          <w:rFonts w:ascii="Arial" w:hAnsi="Arial" w:cs="Arial"/>
        </w:rPr>
        <w:t>can be seen as</w:t>
      </w:r>
      <w:proofErr w:type="gramEnd"/>
      <w:r w:rsidRPr="00F52353">
        <w:rPr>
          <w:rFonts w:ascii="Arial" w:hAnsi="Arial" w:cs="Arial"/>
        </w:rPr>
        <w:t xml:space="preserve"> a way of improving the UL transmission efficiency and/or UE power consumption.</w:t>
      </w:r>
      <w:r w:rsidR="00042FE1">
        <w:rPr>
          <w:rFonts w:ascii="Arial" w:hAnsi="Arial" w:cs="Arial"/>
        </w:rPr>
        <w:t xml:space="preserve"> In relation to the TA discussion, a </w:t>
      </w:r>
      <w:r w:rsidR="00042FE1" w:rsidRPr="00042FE1">
        <w:rPr>
          <w:rFonts w:ascii="Arial" w:hAnsi="Arial" w:cs="Arial"/>
        </w:rPr>
        <w:t xml:space="preserve">long-term SPS grant </w:t>
      </w:r>
      <w:r w:rsidR="00042FE1">
        <w:rPr>
          <w:rFonts w:ascii="Arial" w:hAnsi="Arial" w:cs="Arial"/>
        </w:rPr>
        <w:t xml:space="preserve">could be used </w:t>
      </w:r>
      <w:r w:rsidR="00042FE1" w:rsidRPr="00042FE1">
        <w:rPr>
          <w:rFonts w:ascii="Arial" w:hAnsi="Arial" w:cs="Arial"/>
        </w:rPr>
        <w:t>to enable fast UL transmissions</w:t>
      </w:r>
      <w:r w:rsidR="00042FE1">
        <w:rPr>
          <w:rFonts w:ascii="Arial" w:hAnsi="Arial" w:cs="Arial"/>
        </w:rPr>
        <w:t>.</w:t>
      </w:r>
    </w:p>
    <w:p w14:paraId="14072589" w14:textId="18F655C5" w:rsidR="00D047CE" w:rsidRDefault="00D047CE" w:rsidP="00D047CE">
      <w:pPr>
        <w:jc w:val="both"/>
        <w:rPr>
          <w:rFonts w:ascii="Arial" w:hAnsi="Arial" w:cs="Arial"/>
          <w:b/>
        </w:rPr>
      </w:pPr>
      <w:bookmarkStart w:id="14" w:name="Observation_5"/>
      <w:r w:rsidRPr="00D047CE">
        <w:rPr>
          <w:rFonts w:ascii="Arial" w:hAnsi="Arial" w:cs="Arial"/>
          <w:b/>
        </w:rPr>
        <w:t xml:space="preserve">Observation 5: For LTE-M devices, periodic sensor reporting </w:t>
      </w:r>
      <w:proofErr w:type="gramStart"/>
      <w:r w:rsidRPr="00D047CE">
        <w:rPr>
          <w:rFonts w:ascii="Arial" w:hAnsi="Arial" w:cs="Arial"/>
          <w:b/>
        </w:rPr>
        <w:t>can be seen as</w:t>
      </w:r>
      <w:proofErr w:type="gramEnd"/>
      <w:r w:rsidRPr="00D047CE">
        <w:rPr>
          <w:rFonts w:ascii="Arial" w:hAnsi="Arial" w:cs="Arial"/>
          <w:b/>
        </w:rPr>
        <w:t xml:space="preserve"> a potential use case for Semipersistent Scheduling. Hence, extending the usage of SPS in CE Mode B </w:t>
      </w:r>
      <w:proofErr w:type="gramStart"/>
      <w:r w:rsidRPr="00D047CE">
        <w:rPr>
          <w:rFonts w:ascii="Arial" w:hAnsi="Arial" w:cs="Arial"/>
          <w:b/>
        </w:rPr>
        <w:t>can be seen as</w:t>
      </w:r>
      <w:proofErr w:type="gramEnd"/>
      <w:r w:rsidRPr="00D047CE">
        <w:rPr>
          <w:rFonts w:ascii="Arial" w:hAnsi="Arial" w:cs="Arial"/>
          <w:b/>
        </w:rPr>
        <w:t xml:space="preserve"> a way of improving the UL transmission efficiency and/or UE power consumption.</w:t>
      </w:r>
      <w:bookmarkEnd w:id="14"/>
    </w:p>
    <w:p w14:paraId="3D4538C3" w14:textId="72EB7E7C" w:rsidR="00B95E0D" w:rsidRPr="00D047CE" w:rsidRDefault="00B95E0D" w:rsidP="00D047CE">
      <w:pPr>
        <w:jc w:val="both"/>
        <w:rPr>
          <w:rFonts w:ascii="Arial" w:hAnsi="Arial" w:cs="Arial"/>
          <w:b/>
        </w:rPr>
      </w:pPr>
      <w:bookmarkStart w:id="15" w:name="P4"/>
      <w:r>
        <w:rPr>
          <w:rFonts w:ascii="Arial" w:hAnsi="Arial" w:cs="Arial"/>
          <w:b/>
        </w:rPr>
        <w:t xml:space="preserve">Proposal 4: </w:t>
      </w:r>
      <w:r w:rsidR="00B52262">
        <w:rPr>
          <w:rFonts w:ascii="Arial" w:hAnsi="Arial" w:cs="Arial"/>
          <w:b/>
        </w:rPr>
        <w:t xml:space="preserve">Discuss </w:t>
      </w:r>
      <w:r w:rsidR="000377D7">
        <w:rPr>
          <w:rFonts w:ascii="Arial" w:hAnsi="Arial" w:cs="Arial"/>
          <w:b/>
        </w:rPr>
        <w:t xml:space="preserve">the potential benefits of </w:t>
      </w:r>
      <w:r w:rsidR="00A61648">
        <w:rPr>
          <w:rFonts w:ascii="Arial" w:hAnsi="Arial" w:cs="Arial"/>
          <w:b/>
        </w:rPr>
        <w:t>supporting</w:t>
      </w:r>
      <w:r>
        <w:rPr>
          <w:rFonts w:ascii="Arial" w:hAnsi="Arial" w:cs="Arial"/>
          <w:b/>
        </w:rPr>
        <w:t xml:space="preserve"> semipersistent Scheduling (SPS) in CE Mode B.</w:t>
      </w:r>
      <w:bookmarkEnd w:id="15"/>
    </w:p>
    <w:p w14:paraId="38F3BEA1" w14:textId="3C60023D" w:rsidR="00F63B14" w:rsidRDefault="00D047CE" w:rsidP="00D047CE">
      <w:pPr>
        <w:pStyle w:val="Heading1"/>
        <w:ind w:left="0" w:firstLine="0"/>
      </w:pPr>
      <w:r>
        <w:t>C</w:t>
      </w:r>
      <w:r w:rsidR="00F63B14">
        <w:t>onclusion</w:t>
      </w:r>
    </w:p>
    <w:p w14:paraId="72339C5F" w14:textId="77777777" w:rsidR="003B49D5" w:rsidRDefault="00F63B14" w:rsidP="003B49D5">
      <w:pPr>
        <w:pStyle w:val="BodyText"/>
      </w:pPr>
      <w:r>
        <w:t>In the previous sections we made the following observations:</w:t>
      </w:r>
      <w:r>
        <w:rPr>
          <w:b/>
          <w:bCs/>
        </w:rPr>
        <w:t xml:space="preserve"> </w:t>
      </w:r>
    </w:p>
    <w:p w14:paraId="4102E352" w14:textId="77777777" w:rsidR="003B49D5" w:rsidRDefault="003B49D5" w:rsidP="003B49D5">
      <w:pPr>
        <w:pStyle w:val="BodyText"/>
        <w:numPr>
          <w:ilvl w:val="0"/>
          <w:numId w:val="35"/>
        </w:numPr>
        <w:rPr>
          <w:b/>
          <w:bCs/>
        </w:rPr>
      </w:pPr>
      <w:r>
        <w:rPr>
          <w:b/>
          <w:bCs/>
        </w:rPr>
        <w:t>Timing Advance Related Improvements</w:t>
      </w:r>
    </w:p>
    <w:p w14:paraId="1FC5AABD" w14:textId="4DB26F66" w:rsidR="003B49D5" w:rsidRDefault="003B49D5" w:rsidP="003B49D5">
      <w:pPr>
        <w:pStyle w:val="BodyText"/>
        <w:ind w:left="780"/>
        <w:rPr>
          <w:b/>
          <w:bCs/>
        </w:rPr>
      </w:pPr>
      <w:r>
        <w:rPr>
          <w:b/>
          <w:bCs/>
        </w:rPr>
        <w:fldChar w:fldCharType="begin"/>
      </w:r>
      <w:r>
        <w:rPr>
          <w:b/>
          <w:bCs/>
        </w:rPr>
        <w:instrText xml:space="preserve"> REF Observation_1 \h </w:instrText>
      </w:r>
      <w:r>
        <w:rPr>
          <w:b/>
          <w:bCs/>
        </w:rPr>
      </w:r>
      <w:r>
        <w:rPr>
          <w:b/>
          <w:bCs/>
        </w:rPr>
        <w:fldChar w:fldCharType="separate"/>
      </w:r>
      <w:r w:rsidR="000646F6" w:rsidRPr="000646F6">
        <w:rPr>
          <w:rFonts w:cs="Arial"/>
          <w:b/>
          <w:lang w:val="en-US"/>
        </w:rPr>
        <w:t xml:space="preserve">Observation 1: The WID’s objective states “Specify support for transmission in preconfigured resources in idle and/or connected mode based on SC-FDMA waveform for UEs with a valid timing advance”. Hence, it is necessary to analyze first, when, for how long, and under which conditions/scenarios a given timing advance can </w:t>
      </w:r>
      <w:proofErr w:type="gramStart"/>
      <w:r w:rsidR="000646F6" w:rsidRPr="000646F6">
        <w:rPr>
          <w:rFonts w:cs="Arial"/>
          <w:b/>
          <w:lang w:val="en-US"/>
        </w:rPr>
        <w:t>be considered to be</w:t>
      </w:r>
      <w:proofErr w:type="gramEnd"/>
      <w:r w:rsidR="000646F6" w:rsidRPr="000646F6">
        <w:rPr>
          <w:rFonts w:cs="Arial"/>
          <w:b/>
          <w:lang w:val="en-US"/>
        </w:rPr>
        <w:t xml:space="preserve"> valid.</w:t>
      </w:r>
      <w:r>
        <w:rPr>
          <w:b/>
          <w:bCs/>
        </w:rPr>
        <w:fldChar w:fldCharType="end"/>
      </w:r>
    </w:p>
    <w:p w14:paraId="7600047C" w14:textId="4BF6F31C" w:rsidR="003B49D5" w:rsidRDefault="009841AE" w:rsidP="003B49D5">
      <w:pPr>
        <w:pStyle w:val="BodyText"/>
        <w:ind w:left="780"/>
        <w:rPr>
          <w:b/>
          <w:bCs/>
        </w:rPr>
      </w:pPr>
      <w:r>
        <w:rPr>
          <w:b/>
          <w:bCs/>
        </w:rPr>
        <w:fldChar w:fldCharType="begin"/>
      </w:r>
      <w:r>
        <w:rPr>
          <w:b/>
          <w:bCs/>
        </w:rPr>
        <w:instrText xml:space="preserve"> REF Observation_2 \h </w:instrText>
      </w:r>
      <w:r>
        <w:rPr>
          <w:b/>
          <w:bCs/>
        </w:rPr>
      </w:r>
      <w:r>
        <w:rPr>
          <w:b/>
          <w:bCs/>
        </w:rPr>
        <w:fldChar w:fldCharType="separate"/>
      </w:r>
      <w:r w:rsidR="00692421" w:rsidRPr="000646F6">
        <w:rPr>
          <w:rFonts w:cs="Arial"/>
          <w:b/>
          <w:lang w:val="en-US"/>
        </w:rPr>
        <w:t xml:space="preserve">Observation 2: In Rel-16, RAN1 could consider analyzing whether part(s) of the existing TA mechanism need to be enhanced to reduce the likelihood of retaining an obsolete TA value. Moreover, RAN1 could also consider finding a way to determine if a formerly granted TA is still valid, so a device can maintain a valid TA configuration during idle mode without requiring new TA command from eNB, in such a way that it </w:t>
      </w:r>
      <w:r w:rsidR="00692421" w:rsidRPr="00B454F8">
        <w:rPr>
          <w:rFonts w:cs="Arial"/>
          <w:b/>
          <w:lang w:val="en-US"/>
        </w:rPr>
        <w:t>could initiate transmission of user data</w:t>
      </w:r>
      <w:r w:rsidR="00692421" w:rsidRPr="000646F6">
        <w:rPr>
          <w:rFonts w:cs="Arial"/>
          <w:b/>
          <w:lang w:val="en-US"/>
        </w:rPr>
        <w:t xml:space="preserve">. Moreover, maintaining a valid TA becomes relevant to BL/CE UEs configured with long </w:t>
      </w:r>
      <w:proofErr w:type="spellStart"/>
      <w:r w:rsidR="00692421" w:rsidRPr="000646F6">
        <w:rPr>
          <w:rFonts w:cs="Arial"/>
          <w:b/>
          <w:lang w:val="en-US"/>
        </w:rPr>
        <w:t>eDRX</w:t>
      </w:r>
      <w:proofErr w:type="spellEnd"/>
      <w:r w:rsidR="00692421" w:rsidRPr="000646F6">
        <w:rPr>
          <w:rFonts w:cs="Arial"/>
          <w:b/>
          <w:lang w:val="en-US"/>
        </w:rPr>
        <w:t xml:space="preserve"> cycles.</w:t>
      </w:r>
      <w:r>
        <w:rPr>
          <w:b/>
          <w:bCs/>
        </w:rPr>
        <w:fldChar w:fldCharType="end"/>
      </w:r>
    </w:p>
    <w:p w14:paraId="5623017F" w14:textId="77777777" w:rsidR="009841AE" w:rsidRDefault="009841AE" w:rsidP="003B49D5">
      <w:pPr>
        <w:pStyle w:val="BodyText"/>
        <w:ind w:left="780"/>
        <w:rPr>
          <w:b/>
          <w:bCs/>
        </w:rPr>
      </w:pPr>
    </w:p>
    <w:p w14:paraId="7D33D086" w14:textId="77777777" w:rsidR="003B49D5" w:rsidRDefault="003B49D5" w:rsidP="003B49D5">
      <w:pPr>
        <w:pStyle w:val="BodyText"/>
        <w:numPr>
          <w:ilvl w:val="0"/>
          <w:numId w:val="35"/>
        </w:numPr>
        <w:rPr>
          <w:b/>
          <w:bCs/>
        </w:rPr>
      </w:pPr>
      <w:r>
        <w:rPr>
          <w:b/>
          <w:bCs/>
        </w:rPr>
        <w:t>Multiple Access Techniques Related Improvements</w:t>
      </w:r>
    </w:p>
    <w:p w14:paraId="46CD52BC" w14:textId="241FD1BC" w:rsidR="003B49D5" w:rsidRDefault="009841AE" w:rsidP="003B49D5">
      <w:pPr>
        <w:pStyle w:val="BodyText"/>
        <w:ind w:left="780"/>
        <w:rPr>
          <w:b/>
          <w:bCs/>
        </w:rPr>
      </w:pPr>
      <w:r>
        <w:rPr>
          <w:b/>
          <w:bCs/>
        </w:rPr>
        <w:fldChar w:fldCharType="begin"/>
      </w:r>
      <w:r>
        <w:rPr>
          <w:b/>
          <w:bCs/>
        </w:rPr>
        <w:instrText xml:space="preserve"> REF Observation_3 \h </w:instrText>
      </w:r>
      <w:r>
        <w:rPr>
          <w:b/>
          <w:bCs/>
        </w:rPr>
      </w:r>
      <w:r>
        <w:rPr>
          <w:b/>
          <w:bCs/>
        </w:rPr>
        <w:fldChar w:fldCharType="separate"/>
      </w:r>
      <w:r w:rsidR="000646F6" w:rsidRPr="000646F6">
        <w:rPr>
          <w:rFonts w:cs="Arial"/>
          <w:b/>
          <w:lang w:val="en-US"/>
        </w:rPr>
        <w:t xml:space="preserve">Observation 3: In terms of “orthogonal (multi) access schemes”, in Rel-15 several techniques were discussed from which the sub-PRB was adopted. Hence, unless other multiple access technique can be proven to offer any significant advantage over sub-PRB, in Rel-16 it might </w:t>
      </w:r>
      <w:proofErr w:type="gramStart"/>
      <w:r w:rsidR="000646F6" w:rsidRPr="000646F6">
        <w:rPr>
          <w:rFonts w:cs="Arial"/>
          <w:b/>
          <w:lang w:val="en-US"/>
        </w:rPr>
        <w:t>be seen as</w:t>
      </w:r>
      <w:proofErr w:type="gramEnd"/>
      <w:r w:rsidR="000646F6" w:rsidRPr="000646F6">
        <w:rPr>
          <w:rFonts w:cs="Arial"/>
          <w:b/>
          <w:lang w:val="en-US"/>
        </w:rPr>
        <w:t xml:space="preserve"> natural continue improving sub-PRB (e.g., by considering an even further spectral efficiency improvement).</w:t>
      </w:r>
      <w:r>
        <w:rPr>
          <w:b/>
          <w:bCs/>
        </w:rPr>
        <w:fldChar w:fldCharType="end"/>
      </w:r>
    </w:p>
    <w:p w14:paraId="4DEBD561" w14:textId="77777777" w:rsidR="003B49D5" w:rsidRDefault="003B49D5" w:rsidP="003B49D5">
      <w:pPr>
        <w:pStyle w:val="BodyText"/>
        <w:numPr>
          <w:ilvl w:val="0"/>
          <w:numId w:val="35"/>
        </w:numPr>
        <w:rPr>
          <w:b/>
          <w:bCs/>
        </w:rPr>
      </w:pPr>
      <w:r>
        <w:rPr>
          <w:b/>
          <w:bCs/>
        </w:rPr>
        <w:t>Other Potential Areas of Improvement</w:t>
      </w:r>
    </w:p>
    <w:p w14:paraId="3D02C3B4" w14:textId="1B494E31" w:rsidR="003B49D5" w:rsidRPr="009841AE" w:rsidRDefault="003B49D5" w:rsidP="009841AE">
      <w:pPr>
        <w:pStyle w:val="BodyText"/>
        <w:numPr>
          <w:ilvl w:val="1"/>
          <w:numId w:val="35"/>
        </w:numPr>
        <w:rPr>
          <w:b/>
          <w:bCs/>
        </w:rPr>
      </w:pPr>
      <w:r>
        <w:rPr>
          <w:b/>
          <w:bCs/>
        </w:rPr>
        <w:t>Early Data Transmission</w:t>
      </w:r>
    </w:p>
    <w:p w14:paraId="6E56FB27" w14:textId="6D51FB08" w:rsidR="009841AE" w:rsidRDefault="009841AE" w:rsidP="003B49D5">
      <w:pPr>
        <w:pStyle w:val="BodyText"/>
        <w:ind w:left="1500"/>
        <w:rPr>
          <w:b/>
          <w:bCs/>
        </w:rPr>
      </w:pPr>
      <w:r>
        <w:rPr>
          <w:b/>
          <w:bCs/>
        </w:rPr>
        <w:lastRenderedPageBreak/>
        <w:fldChar w:fldCharType="begin"/>
      </w:r>
      <w:r>
        <w:rPr>
          <w:b/>
          <w:bCs/>
        </w:rPr>
        <w:instrText xml:space="preserve"> REF Observation_4 \h </w:instrText>
      </w:r>
      <w:r>
        <w:rPr>
          <w:b/>
          <w:bCs/>
        </w:rPr>
      </w:r>
      <w:r>
        <w:rPr>
          <w:b/>
          <w:bCs/>
        </w:rPr>
        <w:fldChar w:fldCharType="separate"/>
      </w:r>
      <w:r w:rsidR="000646F6">
        <w:rPr>
          <w:b/>
          <w:lang w:val="en-US"/>
        </w:rPr>
        <w:t xml:space="preserve">Observation 4: </w:t>
      </w:r>
      <w:r w:rsidR="000646F6" w:rsidRPr="00F50513">
        <w:rPr>
          <w:b/>
          <w:lang w:val="en-US"/>
        </w:rPr>
        <w:t xml:space="preserve">In Rel-15, Early Data Transmission (EDT) was introduced for improving the battery life and obtaining latency reductions. </w:t>
      </w:r>
      <w:r w:rsidR="000646F6">
        <w:rPr>
          <w:b/>
          <w:lang w:val="en-US"/>
        </w:rPr>
        <w:t>In Rel-16</w:t>
      </w:r>
      <w:r w:rsidR="000646F6" w:rsidRPr="00F50513">
        <w:rPr>
          <w:b/>
          <w:lang w:val="en-US"/>
        </w:rPr>
        <w:t xml:space="preserve">, EDT might </w:t>
      </w:r>
      <w:proofErr w:type="gramStart"/>
      <w:r w:rsidR="000646F6" w:rsidRPr="00F50513">
        <w:rPr>
          <w:b/>
          <w:lang w:val="en-US"/>
        </w:rPr>
        <w:t>be considered to be</w:t>
      </w:r>
      <w:proofErr w:type="gramEnd"/>
      <w:r w:rsidR="000646F6" w:rsidRPr="00F50513">
        <w:rPr>
          <w:b/>
          <w:lang w:val="en-US"/>
        </w:rPr>
        <w:t xml:space="preserve"> enhanced by for example </w:t>
      </w:r>
      <w:r w:rsidR="000646F6">
        <w:rPr>
          <w:b/>
          <w:lang w:val="en-US"/>
        </w:rPr>
        <w:t xml:space="preserve">further eliminating </w:t>
      </w:r>
      <w:proofErr w:type="spellStart"/>
      <w:r w:rsidR="000646F6">
        <w:rPr>
          <w:b/>
          <w:lang w:val="en-US"/>
        </w:rPr>
        <w:t>signalling</w:t>
      </w:r>
      <w:proofErr w:type="spellEnd"/>
      <w:r w:rsidR="000646F6">
        <w:rPr>
          <w:b/>
          <w:lang w:val="en-US"/>
        </w:rPr>
        <w:t xml:space="preserve"> steps such as Msg1 or Msg2.</w:t>
      </w:r>
      <w:r>
        <w:rPr>
          <w:b/>
          <w:bCs/>
        </w:rPr>
        <w:fldChar w:fldCharType="end"/>
      </w:r>
      <w:r>
        <w:rPr>
          <w:b/>
          <w:bCs/>
        </w:rPr>
        <w:fldChar w:fldCharType="begin"/>
      </w:r>
      <w:r>
        <w:rPr>
          <w:b/>
          <w:bCs/>
        </w:rPr>
        <w:instrText xml:space="preserve"> REF Observation_4 \h </w:instrText>
      </w:r>
      <w:r>
        <w:rPr>
          <w:b/>
          <w:bCs/>
        </w:rPr>
      </w:r>
      <w:r>
        <w:rPr>
          <w:b/>
          <w:bCs/>
        </w:rPr>
        <w:fldChar w:fldCharType="end"/>
      </w:r>
      <w:r>
        <w:rPr>
          <w:b/>
          <w:bCs/>
        </w:rPr>
        <w:fldChar w:fldCharType="begin"/>
      </w:r>
      <w:r>
        <w:rPr>
          <w:b/>
          <w:bCs/>
        </w:rPr>
        <w:instrText xml:space="preserve"> REF Observation_4 \h </w:instrText>
      </w:r>
      <w:r>
        <w:rPr>
          <w:b/>
          <w:bCs/>
        </w:rPr>
      </w:r>
      <w:r>
        <w:rPr>
          <w:b/>
          <w:bCs/>
        </w:rPr>
        <w:fldChar w:fldCharType="end"/>
      </w:r>
      <w:r>
        <w:rPr>
          <w:b/>
          <w:bCs/>
        </w:rPr>
        <w:fldChar w:fldCharType="begin"/>
      </w:r>
      <w:r>
        <w:rPr>
          <w:b/>
          <w:bCs/>
        </w:rPr>
        <w:instrText xml:space="preserve"> REF Observation_4 \h </w:instrText>
      </w:r>
      <w:r>
        <w:rPr>
          <w:b/>
          <w:bCs/>
        </w:rPr>
      </w:r>
      <w:r>
        <w:rPr>
          <w:b/>
          <w:bCs/>
        </w:rPr>
        <w:fldChar w:fldCharType="end"/>
      </w:r>
    </w:p>
    <w:p w14:paraId="5708EBED" w14:textId="77777777" w:rsidR="003B49D5" w:rsidRDefault="003B49D5" w:rsidP="003B49D5">
      <w:pPr>
        <w:pStyle w:val="BodyText"/>
        <w:rPr>
          <w:b/>
          <w:bCs/>
        </w:rPr>
      </w:pPr>
    </w:p>
    <w:p w14:paraId="1FF2FF53" w14:textId="1C6467A0" w:rsidR="003B49D5" w:rsidRPr="009841AE" w:rsidRDefault="003B49D5" w:rsidP="009841AE">
      <w:pPr>
        <w:pStyle w:val="BodyText"/>
        <w:numPr>
          <w:ilvl w:val="1"/>
          <w:numId w:val="35"/>
        </w:numPr>
        <w:rPr>
          <w:b/>
          <w:bCs/>
        </w:rPr>
      </w:pPr>
      <w:r>
        <w:rPr>
          <w:b/>
          <w:bCs/>
        </w:rPr>
        <w:t>Semi-persistent Scheduling</w:t>
      </w:r>
    </w:p>
    <w:p w14:paraId="5F1BC47D" w14:textId="4EAF2DE1" w:rsidR="009841AE" w:rsidRDefault="009841AE" w:rsidP="003B49D5">
      <w:pPr>
        <w:pStyle w:val="BodyText"/>
        <w:ind w:left="1500"/>
        <w:rPr>
          <w:b/>
          <w:bCs/>
        </w:rPr>
      </w:pPr>
      <w:r>
        <w:rPr>
          <w:b/>
          <w:bCs/>
        </w:rPr>
        <w:fldChar w:fldCharType="begin"/>
      </w:r>
      <w:r>
        <w:rPr>
          <w:b/>
          <w:bCs/>
        </w:rPr>
        <w:instrText xml:space="preserve"> REF Observation_5 \h </w:instrText>
      </w:r>
      <w:r>
        <w:rPr>
          <w:b/>
          <w:bCs/>
        </w:rPr>
      </w:r>
      <w:r>
        <w:rPr>
          <w:b/>
          <w:bCs/>
        </w:rPr>
        <w:fldChar w:fldCharType="separate"/>
      </w:r>
      <w:r w:rsidR="000646F6" w:rsidRPr="00D047CE">
        <w:rPr>
          <w:rFonts w:cs="Arial"/>
          <w:b/>
        </w:rPr>
        <w:t xml:space="preserve">Observation 5: For LTE-M devices, periodic sensor reporting </w:t>
      </w:r>
      <w:proofErr w:type="gramStart"/>
      <w:r w:rsidR="000646F6" w:rsidRPr="00D047CE">
        <w:rPr>
          <w:rFonts w:cs="Arial"/>
          <w:b/>
        </w:rPr>
        <w:t>can be seen as</w:t>
      </w:r>
      <w:proofErr w:type="gramEnd"/>
      <w:r w:rsidR="000646F6" w:rsidRPr="00D047CE">
        <w:rPr>
          <w:rFonts w:cs="Arial"/>
          <w:b/>
        </w:rPr>
        <w:t xml:space="preserve"> a potential use case for Semipersistent Scheduling. Hence, extending the usage of SPS in CE Mode B </w:t>
      </w:r>
      <w:proofErr w:type="gramStart"/>
      <w:r w:rsidR="000646F6" w:rsidRPr="00D047CE">
        <w:rPr>
          <w:rFonts w:cs="Arial"/>
          <w:b/>
        </w:rPr>
        <w:t>can be seen as</w:t>
      </w:r>
      <w:proofErr w:type="gramEnd"/>
      <w:r w:rsidR="000646F6" w:rsidRPr="00D047CE">
        <w:rPr>
          <w:rFonts w:cs="Arial"/>
          <w:b/>
        </w:rPr>
        <w:t xml:space="preserve"> a way of improving the UL transmission efficiency and/or UE power consumption.</w:t>
      </w:r>
      <w:r>
        <w:rPr>
          <w:b/>
          <w:bCs/>
        </w:rPr>
        <w:fldChar w:fldCharType="end"/>
      </w:r>
    </w:p>
    <w:p w14:paraId="121EA6AE" w14:textId="77777777" w:rsidR="003B49D5" w:rsidRDefault="003B49D5" w:rsidP="003B49D5">
      <w:pPr>
        <w:pStyle w:val="BodyText"/>
        <w:ind w:left="1500"/>
        <w:rPr>
          <w:b/>
          <w:bCs/>
        </w:rPr>
      </w:pPr>
    </w:p>
    <w:p w14:paraId="55E9D173" w14:textId="5A6DA4A0" w:rsidR="00FD2392" w:rsidRDefault="00F63B14" w:rsidP="00FD2392">
      <w:pPr>
        <w:pStyle w:val="BodyText"/>
      </w:pPr>
      <w:r>
        <w:t>Based on the discussion in the previous sections we propose the following:</w:t>
      </w:r>
      <w:r w:rsidR="00FD2392" w:rsidRPr="00FD2392">
        <w:t xml:space="preserve"> </w:t>
      </w:r>
    </w:p>
    <w:p w14:paraId="06151DD2" w14:textId="77777777" w:rsidR="00FD2392" w:rsidRDefault="00FD2392" w:rsidP="00FD2392">
      <w:pPr>
        <w:pStyle w:val="BodyText"/>
        <w:numPr>
          <w:ilvl w:val="0"/>
          <w:numId w:val="35"/>
        </w:numPr>
        <w:rPr>
          <w:b/>
          <w:bCs/>
        </w:rPr>
      </w:pPr>
      <w:r>
        <w:rPr>
          <w:b/>
          <w:bCs/>
        </w:rPr>
        <w:t>Timing Advance Related Improvements</w:t>
      </w:r>
    </w:p>
    <w:p w14:paraId="1C11724B" w14:textId="02151F89" w:rsidR="00FD2392" w:rsidRDefault="00FD2392" w:rsidP="00FD2392">
      <w:pPr>
        <w:pStyle w:val="BodyText"/>
        <w:ind w:left="780"/>
        <w:rPr>
          <w:b/>
          <w:bCs/>
        </w:rPr>
      </w:pPr>
      <w:r>
        <w:rPr>
          <w:b/>
          <w:bCs/>
        </w:rPr>
        <w:fldChar w:fldCharType="begin"/>
      </w:r>
      <w:r>
        <w:rPr>
          <w:b/>
          <w:bCs/>
        </w:rPr>
        <w:instrText xml:space="preserve"> REF P1 \h </w:instrText>
      </w:r>
      <w:r>
        <w:rPr>
          <w:b/>
          <w:bCs/>
        </w:rPr>
      </w:r>
      <w:r>
        <w:rPr>
          <w:b/>
          <w:bCs/>
        </w:rPr>
        <w:fldChar w:fldCharType="separate"/>
      </w:r>
      <w:r w:rsidR="000646F6" w:rsidRPr="000646F6">
        <w:rPr>
          <w:rFonts w:cs="Arial"/>
          <w:b/>
          <w:lang w:val="en-US"/>
        </w:rPr>
        <w:t>Proposal 1: Investigate whether part(s) of the existing TA mechanism need to be enhanced in such a way that the likelihood of retaining an obsolete TA value can be reduced. This includes finding ways to determine if a formerly granted TA is still valid, so a device can maintain a valid TA configuration during idle mode.</w:t>
      </w:r>
      <w:r>
        <w:rPr>
          <w:b/>
          <w:bCs/>
        </w:rPr>
        <w:fldChar w:fldCharType="end"/>
      </w:r>
    </w:p>
    <w:p w14:paraId="446459A1" w14:textId="77777777" w:rsidR="00FD2392" w:rsidRDefault="00FD2392" w:rsidP="00FD2392">
      <w:pPr>
        <w:pStyle w:val="BodyText"/>
        <w:rPr>
          <w:b/>
          <w:bCs/>
        </w:rPr>
      </w:pPr>
    </w:p>
    <w:p w14:paraId="645A66A2" w14:textId="40E87361" w:rsidR="00FD2392" w:rsidRDefault="00FD2392" w:rsidP="00FD2392">
      <w:pPr>
        <w:pStyle w:val="BodyText"/>
        <w:numPr>
          <w:ilvl w:val="0"/>
          <w:numId w:val="35"/>
        </w:numPr>
        <w:rPr>
          <w:b/>
          <w:bCs/>
        </w:rPr>
      </w:pPr>
      <w:r>
        <w:rPr>
          <w:b/>
          <w:bCs/>
        </w:rPr>
        <w:t>Multiple Access Techniques Related Improvements</w:t>
      </w:r>
    </w:p>
    <w:p w14:paraId="309F2D61" w14:textId="6A7C25DF" w:rsidR="00FD2392" w:rsidRDefault="00FD2392" w:rsidP="00FD2392">
      <w:pPr>
        <w:pStyle w:val="BodyText"/>
        <w:ind w:left="780"/>
        <w:rPr>
          <w:b/>
          <w:bCs/>
        </w:rPr>
      </w:pPr>
      <w:r>
        <w:rPr>
          <w:b/>
          <w:bCs/>
        </w:rPr>
        <w:fldChar w:fldCharType="begin"/>
      </w:r>
      <w:r>
        <w:rPr>
          <w:b/>
          <w:bCs/>
        </w:rPr>
        <w:instrText xml:space="preserve"> REF P2 \h </w:instrText>
      </w:r>
      <w:r>
        <w:rPr>
          <w:b/>
          <w:bCs/>
        </w:rPr>
      </w:r>
      <w:r>
        <w:rPr>
          <w:b/>
          <w:bCs/>
        </w:rPr>
        <w:fldChar w:fldCharType="separate"/>
      </w:r>
      <w:r w:rsidR="000646F6" w:rsidRPr="000646F6">
        <w:rPr>
          <w:rFonts w:cs="Arial"/>
          <w:b/>
          <w:lang w:val="en-US"/>
        </w:rPr>
        <w:t>Proposal 2: Potential improvements related to “orthogonal (multi) access schemes” should consider enhancing sub-PRB transmission over PUSCH (e.g., by considering an even further spectral efficiency improvement).</w:t>
      </w:r>
      <w:r>
        <w:rPr>
          <w:b/>
          <w:bCs/>
        </w:rPr>
        <w:fldChar w:fldCharType="end"/>
      </w:r>
    </w:p>
    <w:p w14:paraId="26819FE7" w14:textId="77777777" w:rsidR="00FD2392" w:rsidRDefault="00FD2392" w:rsidP="00FD2392">
      <w:pPr>
        <w:pStyle w:val="BodyText"/>
        <w:rPr>
          <w:b/>
          <w:bCs/>
        </w:rPr>
      </w:pPr>
    </w:p>
    <w:p w14:paraId="208321BF" w14:textId="77777777" w:rsidR="00FD2392" w:rsidRDefault="00FD2392" w:rsidP="00FD2392">
      <w:pPr>
        <w:pStyle w:val="BodyText"/>
        <w:numPr>
          <w:ilvl w:val="0"/>
          <w:numId w:val="35"/>
        </w:numPr>
        <w:rPr>
          <w:b/>
          <w:bCs/>
        </w:rPr>
      </w:pPr>
      <w:r>
        <w:rPr>
          <w:b/>
          <w:bCs/>
        </w:rPr>
        <w:t>Other Potential Areas of Improvement</w:t>
      </w:r>
    </w:p>
    <w:p w14:paraId="61B25974" w14:textId="168ADB17" w:rsidR="00FD2392" w:rsidRDefault="00FD2392" w:rsidP="00FD2392">
      <w:pPr>
        <w:pStyle w:val="BodyText"/>
        <w:numPr>
          <w:ilvl w:val="1"/>
          <w:numId w:val="35"/>
        </w:numPr>
        <w:rPr>
          <w:b/>
          <w:bCs/>
        </w:rPr>
      </w:pPr>
      <w:r>
        <w:rPr>
          <w:b/>
          <w:bCs/>
        </w:rPr>
        <w:t>Early Data Transmission</w:t>
      </w:r>
    </w:p>
    <w:p w14:paraId="6803BB59" w14:textId="7D73A787" w:rsidR="00FD2392" w:rsidRDefault="00FD2392" w:rsidP="00FD2392">
      <w:pPr>
        <w:pStyle w:val="BodyText"/>
        <w:ind w:left="1500"/>
        <w:rPr>
          <w:b/>
          <w:bCs/>
        </w:rPr>
      </w:pPr>
      <w:r>
        <w:rPr>
          <w:b/>
          <w:bCs/>
        </w:rPr>
        <w:fldChar w:fldCharType="begin"/>
      </w:r>
      <w:r>
        <w:rPr>
          <w:b/>
          <w:bCs/>
        </w:rPr>
        <w:instrText xml:space="preserve"> REF P3 \h </w:instrText>
      </w:r>
      <w:r>
        <w:rPr>
          <w:b/>
          <w:bCs/>
        </w:rPr>
      </w:r>
      <w:r>
        <w:rPr>
          <w:b/>
          <w:bCs/>
        </w:rPr>
        <w:fldChar w:fldCharType="separate"/>
      </w:r>
      <w:r w:rsidR="000646F6">
        <w:rPr>
          <w:b/>
          <w:bCs/>
        </w:rPr>
        <w:t>Proposal 3: Consider enhancing Early Data Transmission (EDT) by further eliminating signalling steps such as Msg1 or Msg2.</w:t>
      </w:r>
      <w:r>
        <w:rPr>
          <w:b/>
          <w:bCs/>
        </w:rPr>
        <w:fldChar w:fldCharType="end"/>
      </w:r>
    </w:p>
    <w:p w14:paraId="12558307" w14:textId="77777777" w:rsidR="00FD2392" w:rsidRPr="009841AE" w:rsidRDefault="00FD2392" w:rsidP="00FD2392">
      <w:pPr>
        <w:pStyle w:val="BodyText"/>
        <w:ind w:left="1500"/>
        <w:rPr>
          <w:b/>
          <w:bCs/>
        </w:rPr>
      </w:pPr>
    </w:p>
    <w:p w14:paraId="625C8CDE" w14:textId="3C88D7BD" w:rsidR="00FD2392" w:rsidRDefault="00FD2392" w:rsidP="00FD2392">
      <w:pPr>
        <w:pStyle w:val="BodyText"/>
        <w:numPr>
          <w:ilvl w:val="1"/>
          <w:numId w:val="35"/>
        </w:numPr>
        <w:rPr>
          <w:b/>
          <w:bCs/>
        </w:rPr>
      </w:pPr>
      <w:r>
        <w:rPr>
          <w:b/>
          <w:bCs/>
        </w:rPr>
        <w:t>Semi-persistent Scheduling</w:t>
      </w:r>
    </w:p>
    <w:p w14:paraId="68C94699" w14:textId="794EDE57" w:rsidR="00FD2392" w:rsidRPr="009841AE" w:rsidRDefault="00FD2392" w:rsidP="00FD2392">
      <w:pPr>
        <w:pStyle w:val="BodyText"/>
        <w:ind w:left="1500"/>
        <w:rPr>
          <w:b/>
          <w:bCs/>
        </w:rPr>
      </w:pPr>
      <w:r>
        <w:rPr>
          <w:b/>
          <w:bCs/>
        </w:rPr>
        <w:fldChar w:fldCharType="begin"/>
      </w:r>
      <w:r>
        <w:rPr>
          <w:b/>
          <w:bCs/>
        </w:rPr>
        <w:instrText xml:space="preserve"> REF P4 \h </w:instrText>
      </w:r>
      <w:r>
        <w:rPr>
          <w:b/>
          <w:bCs/>
        </w:rPr>
      </w:r>
      <w:r>
        <w:rPr>
          <w:b/>
          <w:bCs/>
        </w:rPr>
        <w:fldChar w:fldCharType="separate"/>
      </w:r>
      <w:r w:rsidR="000646F6">
        <w:rPr>
          <w:rFonts w:cs="Arial"/>
          <w:b/>
        </w:rPr>
        <w:t>Proposal 4: Discuss the potential benefits of supporting semipersistent Scheduling (SPS) in CE Mode B.</w:t>
      </w:r>
      <w:r>
        <w:rPr>
          <w:b/>
          <w:bCs/>
        </w:rPr>
        <w:fldChar w:fldCharType="end"/>
      </w:r>
    </w:p>
    <w:p w14:paraId="10E71138" w14:textId="77777777" w:rsidR="00F63B14" w:rsidRDefault="00F63B14" w:rsidP="00F63B14">
      <w:pPr>
        <w:pStyle w:val="BodyText"/>
      </w:pPr>
    </w:p>
    <w:p w14:paraId="1D23EDA9" w14:textId="77777777" w:rsidR="00F63B14" w:rsidRDefault="00F63B14" w:rsidP="00F63B14">
      <w:pPr>
        <w:pStyle w:val="Heading1"/>
      </w:pPr>
      <w:bookmarkStart w:id="16" w:name="_In-sequence_SDU_delivery"/>
      <w:bookmarkEnd w:id="16"/>
      <w:r>
        <w:t>References</w:t>
      </w:r>
    </w:p>
    <w:p w14:paraId="066127D1" w14:textId="01E7520D" w:rsidR="00F63B14" w:rsidRDefault="00F63B14" w:rsidP="00F63B14">
      <w:pPr>
        <w:pStyle w:val="Reference"/>
        <w:numPr>
          <w:ilvl w:val="0"/>
          <w:numId w:val="32"/>
        </w:numPr>
        <w:textAlignment w:val="auto"/>
      </w:pPr>
      <w:bookmarkStart w:id="17" w:name="_Ref189809556"/>
      <w:bookmarkStart w:id="18" w:name="_Ref174151459"/>
      <w:r>
        <w:t xml:space="preserve">RP-181450, </w:t>
      </w:r>
      <w:r w:rsidR="00371280">
        <w:t>“</w:t>
      </w:r>
      <w:r>
        <w:t>New WID on Rel-16 MTC enhancements for LTE</w:t>
      </w:r>
      <w:r w:rsidR="00371280">
        <w:t>”</w:t>
      </w:r>
      <w:r>
        <w:t>, Ericsson, RAN #80, June 11-14, 2018.</w:t>
      </w:r>
    </w:p>
    <w:p w14:paraId="74019CE3" w14:textId="77777777" w:rsidR="00F610BF" w:rsidRDefault="00F610BF" w:rsidP="00F610BF">
      <w:pPr>
        <w:pStyle w:val="Reference"/>
        <w:numPr>
          <w:ilvl w:val="0"/>
          <w:numId w:val="32"/>
        </w:numPr>
      </w:pPr>
      <w:r>
        <w:t>TS 36.211, “</w:t>
      </w:r>
      <w:r w:rsidRPr="00C2682C">
        <w:t>Evolved Universal Terrestrial Radio Access (E-UTRA); Physical channels and modulation</w:t>
      </w:r>
      <w:r>
        <w:t>”, version 15.2.0</w:t>
      </w:r>
    </w:p>
    <w:p w14:paraId="71CF07DD" w14:textId="469DB9C6" w:rsidR="00F610BF" w:rsidRPr="00F610BF" w:rsidRDefault="00F610BF" w:rsidP="00F610BF">
      <w:pPr>
        <w:pStyle w:val="Reference"/>
        <w:numPr>
          <w:ilvl w:val="0"/>
          <w:numId w:val="32"/>
        </w:numPr>
      </w:pPr>
      <w:r w:rsidRPr="00F610BF">
        <w:t>R1-1705251, “eMTC UL Spectral Efficiency Solution Analysis”, RAN1 #88bis, Sierra Wireless.</w:t>
      </w:r>
    </w:p>
    <w:p w14:paraId="5A4C6FE0" w14:textId="15B32997" w:rsidR="003A7EF3" w:rsidRPr="00F63B14" w:rsidRDefault="00F610BF" w:rsidP="00F63B14">
      <w:pPr>
        <w:pStyle w:val="Reference"/>
        <w:numPr>
          <w:ilvl w:val="0"/>
          <w:numId w:val="32"/>
        </w:numPr>
        <w:textAlignment w:val="auto"/>
      </w:pPr>
      <w:r>
        <w:t>R1-1804124, “PUSCH sub-PRB allocation for MTC,” RAN1 #92bis, Ericsson.</w:t>
      </w:r>
      <w:bookmarkEnd w:id="17"/>
      <w:bookmarkEnd w:id="18"/>
    </w:p>
    <w:sectPr w:rsidR="003A7EF3" w:rsidRPr="00F63B1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13D70" w14:textId="77777777" w:rsidR="0096185E" w:rsidRDefault="0096185E">
      <w:r>
        <w:separator/>
      </w:r>
    </w:p>
  </w:endnote>
  <w:endnote w:type="continuationSeparator" w:id="0">
    <w:p w14:paraId="59D47283" w14:textId="77777777" w:rsidR="0096185E" w:rsidRDefault="00961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lassicoURW">
    <w:altName w:val="ClassicoURW"/>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2515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82234" w14:textId="77777777" w:rsidR="0096185E" w:rsidRDefault="0096185E">
      <w:r>
        <w:separator/>
      </w:r>
    </w:p>
  </w:footnote>
  <w:footnote w:type="continuationSeparator" w:id="0">
    <w:p w14:paraId="1F99F92C" w14:textId="77777777" w:rsidR="0096185E" w:rsidRDefault="00961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A3CC7"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A65B55"/>
    <w:multiLevelType w:val="hybridMultilevel"/>
    <w:tmpl w:val="05D88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54EAA"/>
    <w:multiLevelType w:val="hybridMultilevel"/>
    <w:tmpl w:val="32881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BF60C4"/>
    <w:multiLevelType w:val="hybridMultilevel"/>
    <w:tmpl w:val="24066D80"/>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3368D6"/>
    <w:multiLevelType w:val="hybridMultilevel"/>
    <w:tmpl w:val="36B64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FC06E0"/>
    <w:multiLevelType w:val="hybridMultilevel"/>
    <w:tmpl w:val="C3727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02C3E28"/>
    <w:multiLevelType w:val="hybridMultilevel"/>
    <w:tmpl w:val="64E62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6115DF"/>
    <w:multiLevelType w:val="hybridMultilevel"/>
    <w:tmpl w:val="61C43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530ABD"/>
    <w:multiLevelType w:val="hybridMultilevel"/>
    <w:tmpl w:val="2B189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650447"/>
    <w:multiLevelType w:val="hybridMultilevel"/>
    <w:tmpl w:val="6C52E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D9E3849"/>
    <w:multiLevelType w:val="hybridMultilevel"/>
    <w:tmpl w:val="17268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1C86471"/>
    <w:multiLevelType w:val="hybridMultilevel"/>
    <w:tmpl w:val="44A49D2A"/>
    <w:lvl w:ilvl="0" w:tplc="041D0001">
      <w:start w:val="1"/>
      <w:numFmt w:val="bullet"/>
      <w:lvlText w:val=""/>
      <w:lvlJc w:val="left"/>
      <w:pPr>
        <w:ind w:left="780" w:hanging="360"/>
      </w:pPr>
      <w:rPr>
        <w:rFonts w:ascii="Symbol" w:hAnsi="Symbol" w:hint="default"/>
      </w:rPr>
    </w:lvl>
    <w:lvl w:ilvl="1" w:tplc="041D0003">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2"/>
  </w:num>
  <w:num w:numId="3">
    <w:abstractNumId w:val="17"/>
  </w:num>
  <w:num w:numId="4">
    <w:abstractNumId w:val="18"/>
  </w:num>
  <w:num w:numId="5">
    <w:abstractNumId w:val="14"/>
  </w:num>
  <w:num w:numId="6">
    <w:abstractNumId w:val="20"/>
  </w:num>
  <w:num w:numId="7">
    <w:abstractNumId w:val="27"/>
  </w:num>
  <w:num w:numId="8">
    <w:abstractNumId w:val="15"/>
  </w:num>
  <w:num w:numId="9">
    <w:abstractNumId w:val="12"/>
  </w:num>
  <w:num w:numId="10">
    <w:abstractNumId w:val="2"/>
  </w:num>
  <w:num w:numId="11">
    <w:abstractNumId w:val="1"/>
  </w:num>
  <w:num w:numId="12">
    <w:abstractNumId w:val="0"/>
  </w:num>
  <w:num w:numId="13">
    <w:abstractNumId w:val="23"/>
  </w:num>
  <w:num w:numId="14">
    <w:abstractNumId w:val="25"/>
  </w:num>
  <w:num w:numId="15">
    <w:abstractNumId w:val="19"/>
  </w:num>
  <w:num w:numId="16">
    <w:abstractNumId w:val="29"/>
  </w:num>
  <w:num w:numId="17">
    <w:abstractNumId w:val="7"/>
  </w:num>
  <w:num w:numId="18">
    <w:abstractNumId w:val="11"/>
  </w:num>
  <w:num w:numId="19">
    <w:abstractNumId w:val="6"/>
  </w:num>
  <w:num w:numId="20">
    <w:abstractNumId w:val="33"/>
  </w:num>
  <w:num w:numId="21">
    <w:abstractNumId w:val="16"/>
  </w:num>
  <w:num w:numId="22">
    <w:abstractNumId w:val="31"/>
  </w:num>
  <w:num w:numId="23">
    <w:abstractNumId w:val="24"/>
  </w:num>
  <w:num w:numId="24">
    <w:abstractNumId w:val="13"/>
  </w:num>
  <w:num w:numId="25">
    <w:abstractNumId w:val="21"/>
  </w:num>
  <w:num w:numId="26">
    <w:abstractNumId w:val="28"/>
  </w:num>
  <w:num w:numId="27">
    <w:abstractNumId w:val="5"/>
  </w:num>
  <w:num w:numId="28">
    <w:abstractNumId w:val="26"/>
  </w:num>
  <w:num w:numId="29">
    <w:abstractNumId w:val="9"/>
  </w:num>
  <w:num w:numId="30">
    <w:abstractNumId w:val="4"/>
  </w:num>
  <w:num w:numId="31">
    <w:abstractNumId w:val="10"/>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30"/>
  </w:num>
  <w:num w:numId="35">
    <w:abstractNumId w:val="32"/>
  </w:num>
  <w:num w:numId="3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F00"/>
    <w:rsid w:val="000006E1"/>
    <w:rsid w:val="00002A37"/>
    <w:rsid w:val="00004D26"/>
    <w:rsid w:val="0000564C"/>
    <w:rsid w:val="00006446"/>
    <w:rsid w:val="00006646"/>
    <w:rsid w:val="00006896"/>
    <w:rsid w:val="00007169"/>
    <w:rsid w:val="00007CDC"/>
    <w:rsid w:val="00011B28"/>
    <w:rsid w:val="000131CA"/>
    <w:rsid w:val="00015D15"/>
    <w:rsid w:val="00021917"/>
    <w:rsid w:val="00022751"/>
    <w:rsid w:val="000248DB"/>
    <w:rsid w:val="0002564D"/>
    <w:rsid w:val="00025ECA"/>
    <w:rsid w:val="00030FC5"/>
    <w:rsid w:val="000325B8"/>
    <w:rsid w:val="00034C15"/>
    <w:rsid w:val="00036BA1"/>
    <w:rsid w:val="000377D7"/>
    <w:rsid w:val="000422E2"/>
    <w:rsid w:val="00042F22"/>
    <w:rsid w:val="00042FE1"/>
    <w:rsid w:val="000444EF"/>
    <w:rsid w:val="0004460A"/>
    <w:rsid w:val="000463E7"/>
    <w:rsid w:val="00052A07"/>
    <w:rsid w:val="000534E3"/>
    <w:rsid w:val="0005606A"/>
    <w:rsid w:val="00057117"/>
    <w:rsid w:val="000616E7"/>
    <w:rsid w:val="000646F6"/>
    <w:rsid w:val="0006487E"/>
    <w:rsid w:val="00065E1A"/>
    <w:rsid w:val="000670D9"/>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E12"/>
    <w:rsid w:val="000B01AE"/>
    <w:rsid w:val="000B2719"/>
    <w:rsid w:val="000B3A8F"/>
    <w:rsid w:val="000B4AB9"/>
    <w:rsid w:val="000B58C3"/>
    <w:rsid w:val="000B61E9"/>
    <w:rsid w:val="000B6331"/>
    <w:rsid w:val="000B64D1"/>
    <w:rsid w:val="000B6F00"/>
    <w:rsid w:val="000B6F0E"/>
    <w:rsid w:val="000C165A"/>
    <w:rsid w:val="000C2E19"/>
    <w:rsid w:val="000C4B32"/>
    <w:rsid w:val="000D0D07"/>
    <w:rsid w:val="000D3FEE"/>
    <w:rsid w:val="000D4797"/>
    <w:rsid w:val="000E0527"/>
    <w:rsid w:val="000E1E92"/>
    <w:rsid w:val="000F06D6"/>
    <w:rsid w:val="000F0EB1"/>
    <w:rsid w:val="000F1106"/>
    <w:rsid w:val="000F3BE9"/>
    <w:rsid w:val="000F3F6C"/>
    <w:rsid w:val="000F6DF3"/>
    <w:rsid w:val="001005FF"/>
    <w:rsid w:val="001062FB"/>
    <w:rsid w:val="001063E6"/>
    <w:rsid w:val="001071AC"/>
    <w:rsid w:val="00112135"/>
    <w:rsid w:val="00113CF4"/>
    <w:rsid w:val="001153EA"/>
    <w:rsid w:val="00115643"/>
    <w:rsid w:val="00116765"/>
    <w:rsid w:val="001219F5"/>
    <w:rsid w:val="00121A20"/>
    <w:rsid w:val="0012377F"/>
    <w:rsid w:val="00124314"/>
    <w:rsid w:val="00126A42"/>
    <w:rsid w:val="00126B4A"/>
    <w:rsid w:val="00132FD0"/>
    <w:rsid w:val="001344C0"/>
    <w:rsid w:val="001346FA"/>
    <w:rsid w:val="00135252"/>
    <w:rsid w:val="00137AB5"/>
    <w:rsid w:val="00137F0B"/>
    <w:rsid w:val="00151E23"/>
    <w:rsid w:val="00152091"/>
    <w:rsid w:val="001526E0"/>
    <w:rsid w:val="001551B5"/>
    <w:rsid w:val="001659C1"/>
    <w:rsid w:val="00173A8E"/>
    <w:rsid w:val="0017502C"/>
    <w:rsid w:val="00177BF7"/>
    <w:rsid w:val="0018060D"/>
    <w:rsid w:val="0018111A"/>
    <w:rsid w:val="0018143F"/>
    <w:rsid w:val="00181FF8"/>
    <w:rsid w:val="00187B82"/>
    <w:rsid w:val="00190AC1"/>
    <w:rsid w:val="001911BB"/>
    <w:rsid w:val="00191269"/>
    <w:rsid w:val="0019341A"/>
    <w:rsid w:val="0019409F"/>
    <w:rsid w:val="00197DF9"/>
    <w:rsid w:val="001A1987"/>
    <w:rsid w:val="001A2564"/>
    <w:rsid w:val="001A6173"/>
    <w:rsid w:val="001A6CBA"/>
    <w:rsid w:val="001B0D97"/>
    <w:rsid w:val="001B5A5D"/>
    <w:rsid w:val="001C1CE5"/>
    <w:rsid w:val="001C3D2A"/>
    <w:rsid w:val="001D51BA"/>
    <w:rsid w:val="001D53E7"/>
    <w:rsid w:val="001D6342"/>
    <w:rsid w:val="001D6D53"/>
    <w:rsid w:val="001E1EE5"/>
    <w:rsid w:val="001E37EB"/>
    <w:rsid w:val="001E58E2"/>
    <w:rsid w:val="001E7AED"/>
    <w:rsid w:val="001F1B87"/>
    <w:rsid w:val="001F3916"/>
    <w:rsid w:val="001F54C5"/>
    <w:rsid w:val="001F662C"/>
    <w:rsid w:val="001F66E0"/>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0D93"/>
    <w:rsid w:val="002319E4"/>
    <w:rsid w:val="00232C3C"/>
    <w:rsid w:val="00234397"/>
    <w:rsid w:val="00235632"/>
    <w:rsid w:val="00235872"/>
    <w:rsid w:val="00236081"/>
    <w:rsid w:val="00237F31"/>
    <w:rsid w:val="00241559"/>
    <w:rsid w:val="002435B3"/>
    <w:rsid w:val="002458EB"/>
    <w:rsid w:val="00246C1F"/>
    <w:rsid w:val="002500C8"/>
    <w:rsid w:val="00257543"/>
    <w:rsid w:val="002617E7"/>
    <w:rsid w:val="00264228"/>
    <w:rsid w:val="00264334"/>
    <w:rsid w:val="0026473E"/>
    <w:rsid w:val="00266214"/>
    <w:rsid w:val="00267C83"/>
    <w:rsid w:val="0027144F"/>
    <w:rsid w:val="00271813"/>
    <w:rsid w:val="00271F3A"/>
    <w:rsid w:val="002720F0"/>
    <w:rsid w:val="00273278"/>
    <w:rsid w:val="002737F4"/>
    <w:rsid w:val="002770D1"/>
    <w:rsid w:val="002805F5"/>
    <w:rsid w:val="00280751"/>
    <w:rsid w:val="0028280A"/>
    <w:rsid w:val="00286ACD"/>
    <w:rsid w:val="00287838"/>
    <w:rsid w:val="00287CDB"/>
    <w:rsid w:val="002907B5"/>
    <w:rsid w:val="00292EB7"/>
    <w:rsid w:val="00296227"/>
    <w:rsid w:val="00296F44"/>
    <w:rsid w:val="0029777D"/>
    <w:rsid w:val="002A055E"/>
    <w:rsid w:val="002A1D4E"/>
    <w:rsid w:val="002A2869"/>
    <w:rsid w:val="002A2B73"/>
    <w:rsid w:val="002B24D6"/>
    <w:rsid w:val="002B541F"/>
    <w:rsid w:val="002B743D"/>
    <w:rsid w:val="002C41E6"/>
    <w:rsid w:val="002D071A"/>
    <w:rsid w:val="002D34B2"/>
    <w:rsid w:val="002D48B0"/>
    <w:rsid w:val="002D5B37"/>
    <w:rsid w:val="002D7637"/>
    <w:rsid w:val="002E17F2"/>
    <w:rsid w:val="002E7CAE"/>
    <w:rsid w:val="002F2771"/>
    <w:rsid w:val="002F37A9"/>
    <w:rsid w:val="00301CE6"/>
    <w:rsid w:val="0030256B"/>
    <w:rsid w:val="003033E7"/>
    <w:rsid w:val="0030501F"/>
    <w:rsid w:val="00307BA1"/>
    <w:rsid w:val="00311702"/>
    <w:rsid w:val="00311E82"/>
    <w:rsid w:val="003125C4"/>
    <w:rsid w:val="00313FD6"/>
    <w:rsid w:val="003143BD"/>
    <w:rsid w:val="00315363"/>
    <w:rsid w:val="003170A7"/>
    <w:rsid w:val="00317509"/>
    <w:rsid w:val="003203ED"/>
    <w:rsid w:val="00322C9F"/>
    <w:rsid w:val="00324D23"/>
    <w:rsid w:val="0032734B"/>
    <w:rsid w:val="00331751"/>
    <w:rsid w:val="00334579"/>
    <w:rsid w:val="00335858"/>
    <w:rsid w:val="00336BDA"/>
    <w:rsid w:val="00342BD7"/>
    <w:rsid w:val="00346DB5"/>
    <w:rsid w:val="003477B1"/>
    <w:rsid w:val="00352C57"/>
    <w:rsid w:val="00353931"/>
    <w:rsid w:val="00357380"/>
    <w:rsid w:val="00357D41"/>
    <w:rsid w:val="003602D9"/>
    <w:rsid w:val="003604CE"/>
    <w:rsid w:val="00360A47"/>
    <w:rsid w:val="00363BB8"/>
    <w:rsid w:val="00364880"/>
    <w:rsid w:val="00365693"/>
    <w:rsid w:val="00370E47"/>
    <w:rsid w:val="00371280"/>
    <w:rsid w:val="00373AC8"/>
    <w:rsid w:val="003742AC"/>
    <w:rsid w:val="0037775D"/>
    <w:rsid w:val="00377CE1"/>
    <w:rsid w:val="00382B03"/>
    <w:rsid w:val="00385BF0"/>
    <w:rsid w:val="003939FF"/>
    <w:rsid w:val="003A2223"/>
    <w:rsid w:val="003A2629"/>
    <w:rsid w:val="003A2A0F"/>
    <w:rsid w:val="003A45A1"/>
    <w:rsid w:val="003A5987"/>
    <w:rsid w:val="003A5B0A"/>
    <w:rsid w:val="003A6BAC"/>
    <w:rsid w:val="003A70A4"/>
    <w:rsid w:val="003A7EF3"/>
    <w:rsid w:val="003B159C"/>
    <w:rsid w:val="003B369F"/>
    <w:rsid w:val="003B36A3"/>
    <w:rsid w:val="003B49D5"/>
    <w:rsid w:val="003B64BB"/>
    <w:rsid w:val="003B7FE5"/>
    <w:rsid w:val="003C11C8"/>
    <w:rsid w:val="003C2702"/>
    <w:rsid w:val="003C6940"/>
    <w:rsid w:val="003C7806"/>
    <w:rsid w:val="003D01D9"/>
    <w:rsid w:val="003D109F"/>
    <w:rsid w:val="003D131B"/>
    <w:rsid w:val="003D2478"/>
    <w:rsid w:val="003D3C45"/>
    <w:rsid w:val="003D5B1F"/>
    <w:rsid w:val="003E15FA"/>
    <w:rsid w:val="003E4134"/>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5310"/>
    <w:rsid w:val="00427248"/>
    <w:rsid w:val="004303F8"/>
    <w:rsid w:val="00432F10"/>
    <w:rsid w:val="00437447"/>
    <w:rsid w:val="00441A92"/>
    <w:rsid w:val="00442BE5"/>
    <w:rsid w:val="004431DC"/>
    <w:rsid w:val="00444F56"/>
    <w:rsid w:val="00446488"/>
    <w:rsid w:val="004517AA"/>
    <w:rsid w:val="00452CAC"/>
    <w:rsid w:val="00457195"/>
    <w:rsid w:val="00457565"/>
    <w:rsid w:val="00457B71"/>
    <w:rsid w:val="00463A5B"/>
    <w:rsid w:val="004669E2"/>
    <w:rsid w:val="00470C31"/>
    <w:rsid w:val="00471DE0"/>
    <w:rsid w:val="004734D0"/>
    <w:rsid w:val="00474DD7"/>
    <w:rsid w:val="0047556B"/>
    <w:rsid w:val="00477768"/>
    <w:rsid w:val="00492BC5"/>
    <w:rsid w:val="00495AFA"/>
    <w:rsid w:val="004964F1"/>
    <w:rsid w:val="004A16BC"/>
    <w:rsid w:val="004A2B94"/>
    <w:rsid w:val="004A6BDC"/>
    <w:rsid w:val="004B6F6A"/>
    <w:rsid w:val="004B7C0C"/>
    <w:rsid w:val="004C3898"/>
    <w:rsid w:val="004D0019"/>
    <w:rsid w:val="004D1652"/>
    <w:rsid w:val="004D2331"/>
    <w:rsid w:val="004D36B1"/>
    <w:rsid w:val="004D5BF3"/>
    <w:rsid w:val="004D7EBD"/>
    <w:rsid w:val="004E2680"/>
    <w:rsid w:val="004E28F9"/>
    <w:rsid w:val="004E462E"/>
    <w:rsid w:val="004E56DC"/>
    <w:rsid w:val="004E76F4"/>
    <w:rsid w:val="004F0B4E"/>
    <w:rsid w:val="004F0B6C"/>
    <w:rsid w:val="004F2078"/>
    <w:rsid w:val="004F2453"/>
    <w:rsid w:val="004F4DA3"/>
    <w:rsid w:val="00506557"/>
    <w:rsid w:val="0050677A"/>
    <w:rsid w:val="005108D8"/>
    <w:rsid w:val="005116F9"/>
    <w:rsid w:val="0051524D"/>
    <w:rsid w:val="005153A7"/>
    <w:rsid w:val="005219CF"/>
    <w:rsid w:val="00523426"/>
    <w:rsid w:val="005258B2"/>
    <w:rsid w:val="00525A5B"/>
    <w:rsid w:val="00534B59"/>
    <w:rsid w:val="00536759"/>
    <w:rsid w:val="00537C62"/>
    <w:rsid w:val="00546970"/>
    <w:rsid w:val="00554E19"/>
    <w:rsid w:val="0055549A"/>
    <w:rsid w:val="00556568"/>
    <w:rsid w:val="00556721"/>
    <w:rsid w:val="0056121F"/>
    <w:rsid w:val="0057066C"/>
    <w:rsid w:val="00572505"/>
    <w:rsid w:val="00576F52"/>
    <w:rsid w:val="00582809"/>
    <w:rsid w:val="0058798C"/>
    <w:rsid w:val="005900FA"/>
    <w:rsid w:val="005914B1"/>
    <w:rsid w:val="005935A4"/>
    <w:rsid w:val="005948C2"/>
    <w:rsid w:val="00595DCA"/>
    <w:rsid w:val="0059779B"/>
    <w:rsid w:val="005A209A"/>
    <w:rsid w:val="005A54DD"/>
    <w:rsid w:val="005A662D"/>
    <w:rsid w:val="005B1409"/>
    <w:rsid w:val="005B35D7"/>
    <w:rsid w:val="005B392A"/>
    <w:rsid w:val="005B3AA3"/>
    <w:rsid w:val="005B5BD3"/>
    <w:rsid w:val="005B6F83"/>
    <w:rsid w:val="005C0EC8"/>
    <w:rsid w:val="005C14F7"/>
    <w:rsid w:val="005C74FB"/>
    <w:rsid w:val="005D0CE7"/>
    <w:rsid w:val="005D1602"/>
    <w:rsid w:val="005E385F"/>
    <w:rsid w:val="005E38F9"/>
    <w:rsid w:val="005E5B81"/>
    <w:rsid w:val="005E7807"/>
    <w:rsid w:val="005F281D"/>
    <w:rsid w:val="005F2CB1"/>
    <w:rsid w:val="005F3025"/>
    <w:rsid w:val="005F618C"/>
    <w:rsid w:val="005F70BD"/>
    <w:rsid w:val="005F7516"/>
    <w:rsid w:val="005F7F71"/>
    <w:rsid w:val="006008D6"/>
    <w:rsid w:val="0060283C"/>
    <w:rsid w:val="00604F14"/>
    <w:rsid w:val="00606BC7"/>
    <w:rsid w:val="0061155C"/>
    <w:rsid w:val="00611B83"/>
    <w:rsid w:val="00613257"/>
    <w:rsid w:val="00620A71"/>
    <w:rsid w:val="00620D80"/>
    <w:rsid w:val="006234A6"/>
    <w:rsid w:val="00630001"/>
    <w:rsid w:val="006301FE"/>
    <w:rsid w:val="006307DF"/>
    <w:rsid w:val="006311B3"/>
    <w:rsid w:val="006316BD"/>
    <w:rsid w:val="0063284C"/>
    <w:rsid w:val="0063548C"/>
    <w:rsid w:val="00636398"/>
    <w:rsid w:val="006368D3"/>
    <w:rsid w:val="00637573"/>
    <w:rsid w:val="006377EC"/>
    <w:rsid w:val="0064151F"/>
    <w:rsid w:val="00641533"/>
    <w:rsid w:val="0064208D"/>
    <w:rsid w:val="00643475"/>
    <w:rsid w:val="0064396A"/>
    <w:rsid w:val="0064624E"/>
    <w:rsid w:val="00646479"/>
    <w:rsid w:val="00650AB9"/>
    <w:rsid w:val="006545EA"/>
    <w:rsid w:val="00655733"/>
    <w:rsid w:val="00655ACD"/>
    <w:rsid w:val="00656A92"/>
    <w:rsid w:val="00656DDE"/>
    <w:rsid w:val="0066011D"/>
    <w:rsid w:val="006607C0"/>
    <w:rsid w:val="006613A6"/>
    <w:rsid w:val="006627A2"/>
    <w:rsid w:val="006634E6"/>
    <w:rsid w:val="006655EE"/>
    <w:rsid w:val="00665EDB"/>
    <w:rsid w:val="00667EE7"/>
    <w:rsid w:val="00670922"/>
    <w:rsid w:val="00670BE1"/>
    <w:rsid w:val="0067218F"/>
    <w:rsid w:val="006741F2"/>
    <w:rsid w:val="00674CC3"/>
    <w:rsid w:val="00675C72"/>
    <w:rsid w:val="006771F9"/>
    <w:rsid w:val="006776D7"/>
    <w:rsid w:val="00681003"/>
    <w:rsid w:val="006817C9"/>
    <w:rsid w:val="00683ECE"/>
    <w:rsid w:val="00684AB9"/>
    <w:rsid w:val="00692421"/>
    <w:rsid w:val="00693823"/>
    <w:rsid w:val="00695FC2"/>
    <w:rsid w:val="00696949"/>
    <w:rsid w:val="00697052"/>
    <w:rsid w:val="006A46FB"/>
    <w:rsid w:val="006A5E28"/>
    <w:rsid w:val="006A67A7"/>
    <w:rsid w:val="006A697B"/>
    <w:rsid w:val="006A7AFF"/>
    <w:rsid w:val="006B049A"/>
    <w:rsid w:val="006B0995"/>
    <w:rsid w:val="006B0AE9"/>
    <w:rsid w:val="006B1816"/>
    <w:rsid w:val="006B2099"/>
    <w:rsid w:val="006B50CF"/>
    <w:rsid w:val="006C03B8"/>
    <w:rsid w:val="006C5EC9"/>
    <w:rsid w:val="006C6059"/>
    <w:rsid w:val="006C7522"/>
    <w:rsid w:val="006D4095"/>
    <w:rsid w:val="006D6F08"/>
    <w:rsid w:val="006E062C"/>
    <w:rsid w:val="006E1C82"/>
    <w:rsid w:val="006E28B7"/>
    <w:rsid w:val="006E2A9B"/>
    <w:rsid w:val="006E3310"/>
    <w:rsid w:val="006E425E"/>
    <w:rsid w:val="006E4E39"/>
    <w:rsid w:val="006E565E"/>
    <w:rsid w:val="006E673D"/>
    <w:rsid w:val="006E78F4"/>
    <w:rsid w:val="006E7D3B"/>
    <w:rsid w:val="006F1859"/>
    <w:rsid w:val="006F1B70"/>
    <w:rsid w:val="006F341D"/>
    <w:rsid w:val="006F3CDE"/>
    <w:rsid w:val="006F58D4"/>
    <w:rsid w:val="006F6582"/>
    <w:rsid w:val="0070346E"/>
    <w:rsid w:val="00704EDB"/>
    <w:rsid w:val="00706101"/>
    <w:rsid w:val="00707072"/>
    <w:rsid w:val="00707D61"/>
    <w:rsid w:val="00712287"/>
    <w:rsid w:val="00712772"/>
    <w:rsid w:val="007148D3"/>
    <w:rsid w:val="00714C10"/>
    <w:rsid w:val="00715B9A"/>
    <w:rsid w:val="007257D0"/>
    <w:rsid w:val="00726EA6"/>
    <w:rsid w:val="00727208"/>
    <w:rsid w:val="00727680"/>
    <w:rsid w:val="007320B2"/>
    <w:rsid w:val="007348B1"/>
    <w:rsid w:val="007362A6"/>
    <w:rsid w:val="00736D7D"/>
    <w:rsid w:val="00740E58"/>
    <w:rsid w:val="007423B5"/>
    <w:rsid w:val="007445A0"/>
    <w:rsid w:val="0074524B"/>
    <w:rsid w:val="00746EB7"/>
    <w:rsid w:val="00747D8B"/>
    <w:rsid w:val="00751228"/>
    <w:rsid w:val="007541C7"/>
    <w:rsid w:val="007571E1"/>
    <w:rsid w:val="007604B2"/>
    <w:rsid w:val="0076255F"/>
    <w:rsid w:val="00765281"/>
    <w:rsid w:val="00765FD9"/>
    <w:rsid w:val="00766BAD"/>
    <w:rsid w:val="00770350"/>
    <w:rsid w:val="00771BCD"/>
    <w:rsid w:val="007729A2"/>
    <w:rsid w:val="00773F63"/>
    <w:rsid w:val="007755F2"/>
    <w:rsid w:val="00776971"/>
    <w:rsid w:val="00780A80"/>
    <w:rsid w:val="00780F7A"/>
    <w:rsid w:val="0078177E"/>
    <w:rsid w:val="0078304C"/>
    <w:rsid w:val="00783673"/>
    <w:rsid w:val="00785490"/>
    <w:rsid w:val="007916AC"/>
    <w:rsid w:val="007925EA"/>
    <w:rsid w:val="00793CD8"/>
    <w:rsid w:val="00794629"/>
    <w:rsid w:val="00795C92"/>
    <w:rsid w:val="00796231"/>
    <w:rsid w:val="007A1CB3"/>
    <w:rsid w:val="007A306F"/>
    <w:rsid w:val="007A43A6"/>
    <w:rsid w:val="007A58A6"/>
    <w:rsid w:val="007A6952"/>
    <w:rsid w:val="007B14E6"/>
    <w:rsid w:val="007B3D2D"/>
    <w:rsid w:val="007B4898"/>
    <w:rsid w:val="007B50AE"/>
    <w:rsid w:val="007B51DF"/>
    <w:rsid w:val="007C05DD"/>
    <w:rsid w:val="007C3D18"/>
    <w:rsid w:val="007C60BF"/>
    <w:rsid w:val="007C6A07"/>
    <w:rsid w:val="007C7478"/>
    <w:rsid w:val="007C75A1"/>
    <w:rsid w:val="007C77A5"/>
    <w:rsid w:val="007D04E5"/>
    <w:rsid w:val="007D5901"/>
    <w:rsid w:val="007D6CCA"/>
    <w:rsid w:val="007D7526"/>
    <w:rsid w:val="007E4610"/>
    <w:rsid w:val="007E4715"/>
    <w:rsid w:val="007E505B"/>
    <w:rsid w:val="007E7091"/>
    <w:rsid w:val="007F62A2"/>
    <w:rsid w:val="007F6C4C"/>
    <w:rsid w:val="00803FAE"/>
    <w:rsid w:val="0080605F"/>
    <w:rsid w:val="00807786"/>
    <w:rsid w:val="00811FCB"/>
    <w:rsid w:val="00814385"/>
    <w:rsid w:val="008158D6"/>
    <w:rsid w:val="00817196"/>
    <w:rsid w:val="008235DB"/>
    <w:rsid w:val="00824AB4"/>
    <w:rsid w:val="00825C42"/>
    <w:rsid w:val="00825D25"/>
    <w:rsid w:val="00827D6F"/>
    <w:rsid w:val="00832F74"/>
    <w:rsid w:val="00834795"/>
    <w:rsid w:val="008376AC"/>
    <w:rsid w:val="008444E8"/>
    <w:rsid w:val="00844E80"/>
    <w:rsid w:val="00846694"/>
    <w:rsid w:val="00846FE7"/>
    <w:rsid w:val="00847E3F"/>
    <w:rsid w:val="0085109D"/>
    <w:rsid w:val="00853AEF"/>
    <w:rsid w:val="00856911"/>
    <w:rsid w:val="00857AFD"/>
    <w:rsid w:val="008677FD"/>
    <w:rsid w:val="008706D4"/>
    <w:rsid w:val="00870F8A"/>
    <w:rsid w:val="008719A4"/>
    <w:rsid w:val="00871D23"/>
    <w:rsid w:val="0087302B"/>
    <w:rsid w:val="00874312"/>
    <w:rsid w:val="0087437C"/>
    <w:rsid w:val="00875CD7"/>
    <w:rsid w:val="008769F5"/>
    <w:rsid w:val="00876B4D"/>
    <w:rsid w:val="00877F18"/>
    <w:rsid w:val="008941E3"/>
    <w:rsid w:val="00894A88"/>
    <w:rsid w:val="00895386"/>
    <w:rsid w:val="008A21FF"/>
    <w:rsid w:val="008A2CE2"/>
    <w:rsid w:val="008A302F"/>
    <w:rsid w:val="008A30AC"/>
    <w:rsid w:val="008A44B8"/>
    <w:rsid w:val="008A51A8"/>
    <w:rsid w:val="008A54C7"/>
    <w:rsid w:val="008A77D8"/>
    <w:rsid w:val="008B0483"/>
    <w:rsid w:val="008B120C"/>
    <w:rsid w:val="008B51A0"/>
    <w:rsid w:val="008B592A"/>
    <w:rsid w:val="008B7B5C"/>
    <w:rsid w:val="008C0C99"/>
    <w:rsid w:val="008C2017"/>
    <w:rsid w:val="008C2BF6"/>
    <w:rsid w:val="008C4958"/>
    <w:rsid w:val="008C4BAA"/>
    <w:rsid w:val="008C6AE8"/>
    <w:rsid w:val="008C7573"/>
    <w:rsid w:val="008D00A5"/>
    <w:rsid w:val="008D34F1"/>
    <w:rsid w:val="008D39D8"/>
    <w:rsid w:val="008D6D1A"/>
    <w:rsid w:val="008E065E"/>
    <w:rsid w:val="008E0927"/>
    <w:rsid w:val="008E0E5A"/>
    <w:rsid w:val="008E1909"/>
    <w:rsid w:val="008E28AC"/>
    <w:rsid w:val="008E789F"/>
    <w:rsid w:val="008F1C4E"/>
    <w:rsid w:val="008F1EAB"/>
    <w:rsid w:val="008F33DC"/>
    <w:rsid w:val="008F477F"/>
    <w:rsid w:val="0090108F"/>
    <w:rsid w:val="00902350"/>
    <w:rsid w:val="0090336B"/>
    <w:rsid w:val="00904529"/>
    <w:rsid w:val="009053AA"/>
    <w:rsid w:val="00906939"/>
    <w:rsid w:val="00910B7D"/>
    <w:rsid w:val="00911DFB"/>
    <w:rsid w:val="009139D9"/>
    <w:rsid w:val="00914AD8"/>
    <w:rsid w:val="00916079"/>
    <w:rsid w:val="00917CE9"/>
    <w:rsid w:val="00920BF2"/>
    <w:rsid w:val="00922010"/>
    <w:rsid w:val="00926CC0"/>
    <w:rsid w:val="00931BD9"/>
    <w:rsid w:val="009368F3"/>
    <w:rsid w:val="009408D3"/>
    <w:rsid w:val="00941636"/>
    <w:rsid w:val="00943742"/>
    <w:rsid w:val="00945C05"/>
    <w:rsid w:val="00946945"/>
    <w:rsid w:val="00947057"/>
    <w:rsid w:val="00947713"/>
    <w:rsid w:val="00950DE7"/>
    <w:rsid w:val="00953920"/>
    <w:rsid w:val="00953D47"/>
    <w:rsid w:val="0095681E"/>
    <w:rsid w:val="00956C3E"/>
    <w:rsid w:val="009572D4"/>
    <w:rsid w:val="0096185E"/>
    <w:rsid w:val="00961921"/>
    <w:rsid w:val="00963A9A"/>
    <w:rsid w:val="0096430A"/>
    <w:rsid w:val="0096554B"/>
    <w:rsid w:val="0096584A"/>
    <w:rsid w:val="00971F08"/>
    <w:rsid w:val="00975161"/>
    <w:rsid w:val="0097603D"/>
    <w:rsid w:val="00976949"/>
    <w:rsid w:val="00980477"/>
    <w:rsid w:val="009841AE"/>
    <w:rsid w:val="00985253"/>
    <w:rsid w:val="009853B3"/>
    <w:rsid w:val="00990630"/>
    <w:rsid w:val="00991761"/>
    <w:rsid w:val="009920F8"/>
    <w:rsid w:val="00994DCA"/>
    <w:rsid w:val="0099556D"/>
    <w:rsid w:val="009960EC"/>
    <w:rsid w:val="009970DD"/>
    <w:rsid w:val="009A0FBA"/>
    <w:rsid w:val="009A1601"/>
    <w:rsid w:val="009A3BB6"/>
    <w:rsid w:val="009A462D"/>
    <w:rsid w:val="009A5CBA"/>
    <w:rsid w:val="009A78BF"/>
    <w:rsid w:val="009B1F30"/>
    <w:rsid w:val="009B3AC2"/>
    <w:rsid w:val="009B4DF4"/>
    <w:rsid w:val="009B564E"/>
    <w:rsid w:val="009B7E87"/>
    <w:rsid w:val="009C0169"/>
    <w:rsid w:val="009C403E"/>
    <w:rsid w:val="009C4AC3"/>
    <w:rsid w:val="009D4FF0"/>
    <w:rsid w:val="009D703C"/>
    <w:rsid w:val="009D718F"/>
    <w:rsid w:val="009E068F"/>
    <w:rsid w:val="009E14E0"/>
    <w:rsid w:val="009E35DB"/>
    <w:rsid w:val="009E47A3"/>
    <w:rsid w:val="009E7C7A"/>
    <w:rsid w:val="009F08F3"/>
    <w:rsid w:val="009F344F"/>
    <w:rsid w:val="009F6F2C"/>
    <w:rsid w:val="00A031D8"/>
    <w:rsid w:val="00A048A8"/>
    <w:rsid w:val="00A04F49"/>
    <w:rsid w:val="00A13E54"/>
    <w:rsid w:val="00A15615"/>
    <w:rsid w:val="00A17F63"/>
    <w:rsid w:val="00A2193B"/>
    <w:rsid w:val="00A2351A"/>
    <w:rsid w:val="00A2381A"/>
    <w:rsid w:val="00A264A9"/>
    <w:rsid w:val="00A26DCF"/>
    <w:rsid w:val="00A27785"/>
    <w:rsid w:val="00A30187"/>
    <w:rsid w:val="00A336A8"/>
    <w:rsid w:val="00A3448A"/>
    <w:rsid w:val="00A36297"/>
    <w:rsid w:val="00A41E2B"/>
    <w:rsid w:val="00A45B74"/>
    <w:rsid w:val="00A52E1D"/>
    <w:rsid w:val="00A61499"/>
    <w:rsid w:val="00A61648"/>
    <w:rsid w:val="00A617DA"/>
    <w:rsid w:val="00A62A77"/>
    <w:rsid w:val="00A63483"/>
    <w:rsid w:val="00A657D7"/>
    <w:rsid w:val="00A660AC"/>
    <w:rsid w:val="00A67612"/>
    <w:rsid w:val="00A67E6C"/>
    <w:rsid w:val="00A71B99"/>
    <w:rsid w:val="00A739D0"/>
    <w:rsid w:val="00A75575"/>
    <w:rsid w:val="00A75E06"/>
    <w:rsid w:val="00A761D4"/>
    <w:rsid w:val="00A77EC4"/>
    <w:rsid w:val="00A92879"/>
    <w:rsid w:val="00A9442A"/>
    <w:rsid w:val="00AA016F"/>
    <w:rsid w:val="00AA1ED6"/>
    <w:rsid w:val="00AA51D6"/>
    <w:rsid w:val="00AA6A34"/>
    <w:rsid w:val="00AB0BC8"/>
    <w:rsid w:val="00AB11CA"/>
    <w:rsid w:val="00AB14D9"/>
    <w:rsid w:val="00AB4AB8"/>
    <w:rsid w:val="00AB655E"/>
    <w:rsid w:val="00AC007F"/>
    <w:rsid w:val="00AC2ECD"/>
    <w:rsid w:val="00AC3119"/>
    <w:rsid w:val="00AC49FB"/>
    <w:rsid w:val="00AC5A10"/>
    <w:rsid w:val="00AD0AA3"/>
    <w:rsid w:val="00AD27CE"/>
    <w:rsid w:val="00AD2ED0"/>
    <w:rsid w:val="00AD3F94"/>
    <w:rsid w:val="00AD4A5A"/>
    <w:rsid w:val="00AD5786"/>
    <w:rsid w:val="00AE27AC"/>
    <w:rsid w:val="00AE40E0"/>
    <w:rsid w:val="00AE4DBA"/>
    <w:rsid w:val="00AE4F07"/>
    <w:rsid w:val="00AE6F34"/>
    <w:rsid w:val="00AE7A78"/>
    <w:rsid w:val="00AF1C5D"/>
    <w:rsid w:val="00AF42D7"/>
    <w:rsid w:val="00B0034D"/>
    <w:rsid w:val="00B006FE"/>
    <w:rsid w:val="00B007CB"/>
    <w:rsid w:val="00B0191E"/>
    <w:rsid w:val="00B02AA9"/>
    <w:rsid w:val="00B02FA3"/>
    <w:rsid w:val="00B03373"/>
    <w:rsid w:val="00B05084"/>
    <w:rsid w:val="00B06A4F"/>
    <w:rsid w:val="00B06C7D"/>
    <w:rsid w:val="00B12D81"/>
    <w:rsid w:val="00B135D0"/>
    <w:rsid w:val="00B157F9"/>
    <w:rsid w:val="00B20256"/>
    <w:rsid w:val="00B20D09"/>
    <w:rsid w:val="00B21929"/>
    <w:rsid w:val="00B2763F"/>
    <w:rsid w:val="00B27AAC"/>
    <w:rsid w:val="00B30929"/>
    <w:rsid w:val="00B30976"/>
    <w:rsid w:val="00B3561C"/>
    <w:rsid w:val="00B372AA"/>
    <w:rsid w:val="00B40445"/>
    <w:rsid w:val="00B409E0"/>
    <w:rsid w:val="00B41888"/>
    <w:rsid w:val="00B4280D"/>
    <w:rsid w:val="00B454F8"/>
    <w:rsid w:val="00B45A52"/>
    <w:rsid w:val="00B46175"/>
    <w:rsid w:val="00B46E4B"/>
    <w:rsid w:val="00B52262"/>
    <w:rsid w:val="00B548B7"/>
    <w:rsid w:val="00B55BC5"/>
    <w:rsid w:val="00B664C7"/>
    <w:rsid w:val="00B705A0"/>
    <w:rsid w:val="00B734D5"/>
    <w:rsid w:val="00B739F6"/>
    <w:rsid w:val="00B81A6C"/>
    <w:rsid w:val="00B84466"/>
    <w:rsid w:val="00B85DE5"/>
    <w:rsid w:val="00B90F73"/>
    <w:rsid w:val="00B91C16"/>
    <w:rsid w:val="00B93B59"/>
    <w:rsid w:val="00B9406A"/>
    <w:rsid w:val="00B95E0D"/>
    <w:rsid w:val="00B97364"/>
    <w:rsid w:val="00B97605"/>
    <w:rsid w:val="00BA0945"/>
    <w:rsid w:val="00BA0A81"/>
    <w:rsid w:val="00BA191C"/>
    <w:rsid w:val="00BA2280"/>
    <w:rsid w:val="00BA2A08"/>
    <w:rsid w:val="00BA56D2"/>
    <w:rsid w:val="00BA6D66"/>
    <w:rsid w:val="00BA76E0"/>
    <w:rsid w:val="00BB2A25"/>
    <w:rsid w:val="00BB51E9"/>
    <w:rsid w:val="00BC0FDC"/>
    <w:rsid w:val="00BC2757"/>
    <w:rsid w:val="00BC3053"/>
    <w:rsid w:val="00BC4D2E"/>
    <w:rsid w:val="00BD48AC"/>
    <w:rsid w:val="00BD5F1A"/>
    <w:rsid w:val="00BE1234"/>
    <w:rsid w:val="00BE2FA6"/>
    <w:rsid w:val="00BE333F"/>
    <w:rsid w:val="00BE7406"/>
    <w:rsid w:val="00BE7603"/>
    <w:rsid w:val="00BE7EED"/>
    <w:rsid w:val="00BF1A8F"/>
    <w:rsid w:val="00BF2F4F"/>
    <w:rsid w:val="00BF3279"/>
    <w:rsid w:val="00BF74C7"/>
    <w:rsid w:val="00C015F1"/>
    <w:rsid w:val="00C01C81"/>
    <w:rsid w:val="00C01F33"/>
    <w:rsid w:val="00C02CC6"/>
    <w:rsid w:val="00C02D73"/>
    <w:rsid w:val="00C040F7"/>
    <w:rsid w:val="00C044AB"/>
    <w:rsid w:val="00C05706"/>
    <w:rsid w:val="00C07377"/>
    <w:rsid w:val="00C10478"/>
    <w:rsid w:val="00C1076E"/>
    <w:rsid w:val="00C12107"/>
    <w:rsid w:val="00C14D4B"/>
    <w:rsid w:val="00C154BB"/>
    <w:rsid w:val="00C21116"/>
    <w:rsid w:val="00C279B5"/>
    <w:rsid w:val="00C27C45"/>
    <w:rsid w:val="00C3719D"/>
    <w:rsid w:val="00C37CB2"/>
    <w:rsid w:val="00C473A5"/>
    <w:rsid w:val="00C51D58"/>
    <w:rsid w:val="00C54995"/>
    <w:rsid w:val="00C54D41"/>
    <w:rsid w:val="00C60783"/>
    <w:rsid w:val="00C64672"/>
    <w:rsid w:val="00C665CD"/>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5A1B"/>
    <w:rsid w:val="00CB7170"/>
    <w:rsid w:val="00CC040E"/>
    <w:rsid w:val="00CC111F"/>
    <w:rsid w:val="00CC2011"/>
    <w:rsid w:val="00CC3EA0"/>
    <w:rsid w:val="00CC7B45"/>
    <w:rsid w:val="00CD1188"/>
    <w:rsid w:val="00CD14D0"/>
    <w:rsid w:val="00CD2ED1"/>
    <w:rsid w:val="00CD337B"/>
    <w:rsid w:val="00CE0424"/>
    <w:rsid w:val="00CE50A5"/>
    <w:rsid w:val="00CE53BA"/>
    <w:rsid w:val="00CE6FF5"/>
    <w:rsid w:val="00CE7561"/>
    <w:rsid w:val="00CF1354"/>
    <w:rsid w:val="00CF3B1F"/>
    <w:rsid w:val="00CF3BF6"/>
    <w:rsid w:val="00CF53A8"/>
    <w:rsid w:val="00CF625B"/>
    <w:rsid w:val="00CF66D7"/>
    <w:rsid w:val="00CF687E"/>
    <w:rsid w:val="00CF76FA"/>
    <w:rsid w:val="00D0349B"/>
    <w:rsid w:val="00D047CE"/>
    <w:rsid w:val="00D10249"/>
    <w:rsid w:val="00D115C3"/>
    <w:rsid w:val="00D11897"/>
    <w:rsid w:val="00D13135"/>
    <w:rsid w:val="00D13DD1"/>
    <w:rsid w:val="00D13E4E"/>
    <w:rsid w:val="00D239A7"/>
    <w:rsid w:val="00D23F47"/>
    <w:rsid w:val="00D265C2"/>
    <w:rsid w:val="00D36E71"/>
    <w:rsid w:val="00D37D87"/>
    <w:rsid w:val="00D40B33"/>
    <w:rsid w:val="00D4318F"/>
    <w:rsid w:val="00D438BF"/>
    <w:rsid w:val="00D440F8"/>
    <w:rsid w:val="00D44CEA"/>
    <w:rsid w:val="00D46400"/>
    <w:rsid w:val="00D546FF"/>
    <w:rsid w:val="00D55AD5"/>
    <w:rsid w:val="00D55D27"/>
    <w:rsid w:val="00D576CA"/>
    <w:rsid w:val="00D61AF5"/>
    <w:rsid w:val="00D652B5"/>
    <w:rsid w:val="00D66111"/>
    <w:rsid w:val="00D66155"/>
    <w:rsid w:val="00D6721A"/>
    <w:rsid w:val="00D708B0"/>
    <w:rsid w:val="00D70D2F"/>
    <w:rsid w:val="00D73F80"/>
    <w:rsid w:val="00D77B1D"/>
    <w:rsid w:val="00D8021F"/>
    <w:rsid w:val="00D80383"/>
    <w:rsid w:val="00D823C6"/>
    <w:rsid w:val="00D83048"/>
    <w:rsid w:val="00D8327F"/>
    <w:rsid w:val="00D848C4"/>
    <w:rsid w:val="00D86CA3"/>
    <w:rsid w:val="00D871CE"/>
    <w:rsid w:val="00D9196D"/>
    <w:rsid w:val="00D92814"/>
    <w:rsid w:val="00D92982"/>
    <w:rsid w:val="00D9534F"/>
    <w:rsid w:val="00DA305E"/>
    <w:rsid w:val="00DA5417"/>
    <w:rsid w:val="00DA56E8"/>
    <w:rsid w:val="00DB0A9F"/>
    <w:rsid w:val="00DB377D"/>
    <w:rsid w:val="00DB3BA2"/>
    <w:rsid w:val="00DC1ABD"/>
    <w:rsid w:val="00DC2D36"/>
    <w:rsid w:val="00DC53EF"/>
    <w:rsid w:val="00DD42BF"/>
    <w:rsid w:val="00DE5608"/>
    <w:rsid w:val="00DE58D0"/>
    <w:rsid w:val="00DE654F"/>
    <w:rsid w:val="00DF0B6E"/>
    <w:rsid w:val="00DF15E0"/>
    <w:rsid w:val="00DF37A0"/>
    <w:rsid w:val="00E110E7"/>
    <w:rsid w:val="00E11B20"/>
    <w:rsid w:val="00E12804"/>
    <w:rsid w:val="00E16559"/>
    <w:rsid w:val="00E17FA2"/>
    <w:rsid w:val="00E22330"/>
    <w:rsid w:val="00E30B5A"/>
    <w:rsid w:val="00E3123D"/>
    <w:rsid w:val="00E31461"/>
    <w:rsid w:val="00E31D43"/>
    <w:rsid w:val="00E32608"/>
    <w:rsid w:val="00E34188"/>
    <w:rsid w:val="00E34B6E"/>
    <w:rsid w:val="00E34FB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1BB"/>
    <w:rsid w:val="00EA7A41"/>
    <w:rsid w:val="00EB077B"/>
    <w:rsid w:val="00EB4EA2"/>
    <w:rsid w:val="00EB5E11"/>
    <w:rsid w:val="00EB64E0"/>
    <w:rsid w:val="00EC24D5"/>
    <w:rsid w:val="00EC27C6"/>
    <w:rsid w:val="00EC4207"/>
    <w:rsid w:val="00EC5653"/>
    <w:rsid w:val="00EC71CE"/>
    <w:rsid w:val="00ED1006"/>
    <w:rsid w:val="00ED7E89"/>
    <w:rsid w:val="00EF18FE"/>
    <w:rsid w:val="00EF5787"/>
    <w:rsid w:val="00EF60D0"/>
    <w:rsid w:val="00F0528D"/>
    <w:rsid w:val="00F06C67"/>
    <w:rsid w:val="00F06DFD"/>
    <w:rsid w:val="00F071D1"/>
    <w:rsid w:val="00F07533"/>
    <w:rsid w:val="00F10629"/>
    <w:rsid w:val="00F153C5"/>
    <w:rsid w:val="00F15FA5"/>
    <w:rsid w:val="00F16916"/>
    <w:rsid w:val="00F17799"/>
    <w:rsid w:val="00F209B7"/>
    <w:rsid w:val="00F2376F"/>
    <w:rsid w:val="00F243D8"/>
    <w:rsid w:val="00F30828"/>
    <w:rsid w:val="00F313D6"/>
    <w:rsid w:val="00F40F0C"/>
    <w:rsid w:val="00F4556C"/>
    <w:rsid w:val="00F4766C"/>
    <w:rsid w:val="00F5060E"/>
    <w:rsid w:val="00F507D1"/>
    <w:rsid w:val="00F519CE"/>
    <w:rsid w:val="00F51ADA"/>
    <w:rsid w:val="00F52353"/>
    <w:rsid w:val="00F60203"/>
    <w:rsid w:val="00F607C5"/>
    <w:rsid w:val="00F60DEA"/>
    <w:rsid w:val="00F610BF"/>
    <w:rsid w:val="00F6302A"/>
    <w:rsid w:val="00F63950"/>
    <w:rsid w:val="00F63B14"/>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9B7"/>
    <w:rsid w:val="00F96985"/>
    <w:rsid w:val="00F97838"/>
    <w:rsid w:val="00FA2BB3"/>
    <w:rsid w:val="00FA3419"/>
    <w:rsid w:val="00FA59FA"/>
    <w:rsid w:val="00FB32F7"/>
    <w:rsid w:val="00FB4C80"/>
    <w:rsid w:val="00FB6A6A"/>
    <w:rsid w:val="00FC7429"/>
    <w:rsid w:val="00FD07F6"/>
    <w:rsid w:val="00FD1EC8"/>
    <w:rsid w:val="00FD2392"/>
    <w:rsid w:val="00FD47ED"/>
    <w:rsid w:val="00FD74DB"/>
    <w:rsid w:val="00FD7660"/>
    <w:rsid w:val="00FE0655"/>
    <w:rsid w:val="00FE2365"/>
    <w:rsid w:val="00FE37D7"/>
    <w:rsid w:val="00FE4C7B"/>
    <w:rsid w:val="00FE51C1"/>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A6AF32"/>
  <w15:chartTrackingRefBased/>
  <w15:docId w15:val="{FE70B2B5-89CD-4EAE-8F6D-B3549C4FA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Pa10">
    <w:name w:val="Pa10"/>
    <w:basedOn w:val="Normal"/>
    <w:next w:val="Normal"/>
    <w:uiPriority w:val="99"/>
    <w:rsid w:val="00F63B14"/>
    <w:pPr>
      <w:overflowPunct/>
      <w:spacing w:after="0" w:line="181" w:lineRule="atLeast"/>
      <w:textAlignment w:val="auto"/>
    </w:pPr>
    <w:rPr>
      <w:rFonts w:ascii="ClassicoURW" w:hAnsi="ClassicoURW"/>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653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germed\Documents\Desktop%20-%20Old%20EliteBook%20%5bFeb2015%5d\3GPP_StandardizationDelegate\RAN1_%2394_Gothenburg_2018\R1-xxxxxx%20Improved%20UL%20transmission%20efficiency%20and%20or%20UE%20power%20consump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F9CE4-ED16-42C0-8D5F-BBD5DCA71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Improved UL transmission efficiency and or UE power consumption.dotx</Template>
  <TotalTime>1265</TotalTime>
  <Pages>5</Pages>
  <Words>2623</Words>
  <Characters>13904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16495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EricssonG</dc:creator>
  <cp:keywords>3GPP; Ericsson; TDoc</cp:keywords>
  <dc:description/>
  <cp:lastModifiedBy>Johan Bergman</cp:lastModifiedBy>
  <cp:revision>167</cp:revision>
  <cp:lastPrinted>2008-01-31T07:09:00Z</cp:lastPrinted>
  <dcterms:created xsi:type="dcterms:W3CDTF">2018-07-04T11:13:00Z</dcterms:created>
  <dcterms:modified xsi:type="dcterms:W3CDTF">2018-08-10T21:13:00Z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